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Document Purpose</w:t>
      </w:r>
    </w:p>
    <w:p>
      <w:pPr>
        <w:pStyle w:val="SRSHeading2"/>
      </w:pPr>
      <w:r>
        <w:t>Custom Sections</w:t>
      </w:r>
    </w:p>
    <w:p>
      <w:pPr>
        <w:pStyle w:val="SRSNormal"/>
        <w:ind w:left="720"/>
      </w:pPr>
      <w:r>
        <w:t>1. Open Queries</w:t>
      </w:r>
    </w:p>
    <w:p>
      <w:pPr>
        <w:pStyle w:val="SRSNormal"/>
        <w:ind w:left="720"/>
      </w:pPr>
      <w:r>
        <w:t>2. Non Functional Requirements</w:t>
      </w:r>
    </w:p>
    <w:p>
      <w:r>
        <w:br w:type="page"/>
      </w:r>
    </w:p>
    <w:p>
      <w:pPr>
        <w:pStyle w:val="SRSHeading1"/>
      </w:pPr>
      <w:r>
        <w:t>AI</w:t>
      </w:r>
    </w:p>
    <w:p>
      <w:pPr>
        <w:pStyle w:val="SRSHeading2"/>
      </w:pPr>
      <w:r>
        <w:t>Document Purpose</w:t>
      </w:r>
    </w:p>
    <w:p>
      <w:pPr>
        <w:pStyle w:val="SRSNormal"/>
        <w:spacing w:after="240"/>
        <w:ind w:left="360"/>
      </w:pPr>
      <w:r>
        <w:t>Source: AI Generated</w:t>
      </w:r>
    </w:p>
    <w:p>
      <w:pPr>
        <w:pStyle w:val="SRSNormal"/>
        <w:spacing w:after="240"/>
        <w:ind w:left="360"/>
      </w:pPr>
      <w:r>
        <w:t>### Document Purpose</w:t>
        <w:br/>
        <w:br/>
        <w:t>The purpose of this Software Requirements Specification (SRS) document is to provide a comprehensive framework for the development of AI-driven educational tools tailored for top-tier international schools, as discussed in the meetings between MSBC and Riza Kaya's team. This document outlines the project's vision, specific use cases, technical considerations, and strategic objectives, ensuring that all stakeholders have a clear understanding of the project scope and requirements.</w:t>
        <w:br/>
        <w:br/>
        <w:t>The primary objective, as highlighted in the meeting, is to develop offline AI tools that support schools in key areas such as inspection readiness, lesson planning, academic performance analysis, and admissions/marketing insights. This initiative aims to address the unique challenges faced by schools in managing scattered data and integrating various educational workflows. By leveraging AI, the project seeks to streamline these processes and enhance operational efficiency.</w:t>
        <w:br/>
        <w:br/>
        <w:t>During the discussions, specific requirements for each use case were identified. For instance, Use Case 1 focuses on AI-driven inspection readiness, utilizing a Red-Amber-Green (RAG) system for automated analysis of inspection documents. This feature is crucial for schools aiming to improve their inspection scores, as it provides actionable insights and recommendations based on historical data and current inspection frameworks.</w:t>
        <w:br/>
        <w:br/>
        <w:t>Technical considerations were also a significant topic of discussion, with an emphasis on data integration from various sources such as PDF reports, MIS, and LMS systems. The project will employ API integrations with major MIS providers like iSAMS and Veracross, ensuring seamless data flow and accessibility. The meetings also underscored the importance of offline deployment, with an optional cloud-based solution for broader adoption, catering to schools with varying infrastructure capabilities.</w:t>
        <w:br/>
        <w:br/>
        <w:t>The meetings highlighted the modular architecture as a critical component of the project, allowing each use case to function independently and providing schools the flexibility to adopt solutions that best fit their needs. This approach not only enhances customization but also supports scalability as schools' needs evolve. Additionally, the discussions emphasized the need for a unified data repository and API layer to improve efficiency and user experience.</w:t>
        <w:br/>
        <w:br/>
        <w:t>Constraints and considerations addressed in the meetings include the necessity for rapid MVP development due to high market demand, as well as the need to balance customization with standardization to ensure a lean build. The discussions concluded with action items for both MSBC and Riza Kaya's team to further refine use case diagrams, technical notes, and infrastructure proposals, setting the stage for subsequent workshops and the project's successful execution.</w:t>
      </w:r>
    </w:p>
    <w:p/>
    <w:p>
      <w:pPr>
        <w:pStyle w:val="SRSHeading2"/>
      </w:pPr>
      <w:r>
        <w:t>Open Queries</w:t>
      </w:r>
    </w:p>
    <w:p>
      <w:pPr>
        <w:pStyle w:val="SRSNormal"/>
        <w:ind w:left="360"/>
      </w:pPr>
      <w:r>
        <w:t>Purpose: solve questions</w:t>
      </w:r>
    </w:p>
    <w:p>
      <w:pPr>
        <w:pStyle w:val="SRSNormal"/>
        <w:spacing w:after="240"/>
        <w:ind w:left="360"/>
      </w:pPr>
      <w:r>
        <w:t>Source: Custom Section</w:t>
      </w:r>
    </w:p>
    <w:p>
      <w:pPr>
        <w:pStyle w:val="SRSNormal"/>
        <w:spacing w:after="240"/>
        <w:ind w:left="360"/>
      </w:pPr>
      <w:r>
        <w:t>### Open Queries</w:t>
        <w:br/>
        <w:br/>
        <w:t>The "Open Queries" section of the Software Requirements Specification (SRS) document highlights unresolved questions and points requiring further clarification as discussed in the project meetings. This section is crucial for ensuring all stakeholders are aligned and that no aspect of the project is left ambiguous, thus facilitating a smoother development process.</w:t>
        <w:br/>
        <w:br/>
        <w:t>One key area of inquiry involves the integration of the AI system with existing school management systems. During the discussions, Riza Kaya emphasized the need for the system to interface with various MIS systems such as iSAMS and Veracross through API integrations. However, questions remain about the specific data fields required and the frequency of data synchronization. The need for an efficient data centralization process was underscored, though the exact technical approach—whether through a local PostgreSQL database or another solution—remains open for discussion.</w:t>
        <w:br/>
        <w:br/>
        <w:t>Another significant query pertains to the deployment model of the AI tools, particularly the decision between offline and cloud-based solutions. While the initial focus is on offline deployment to ensure security and privacy for top-tier schools, Suhail Ahmed raised the possibility of offering a cloud-based multi-tenant setup for broader applicability. The team must decide on a strategy that balances the unique needs of different schools with the overarching goal of maintaining a lean and scalable product.</w:t>
        <w:br/>
        <w:br/>
        <w:t>The meeting also surfaced questions about the scope of the marketing and admissions module. Although the primary aim is to provide schools with data-driven insights into student demographics and marketing efficacy, the extent to which the system will generate marketing materials versus providing analytical insights is still under consideration. Riza Kaya suggested keeping the initial focus narrow, possibly expanding capabilities based on future requirements and feedback.</w:t>
        <w:br/>
        <w:br/>
        <w:t>Technical specifications, such as the handling of large PDF documents containing images and tables, remain a point of technical concern. Riza Kaya noted the challenges faced with dissecting these documents for the RAG system and suggested potential solutions like PDF compression or selective data extraction, though no final decision was reached. This aspect of the project will require further exploration to identify the most efficient method for processing and analyzing these documents.</w:t>
        <w:br/>
        <w:br/>
        <w:t>Finally, the team is considering the implications of user access management, particularly the granularity of permissions for different user roles within the schools. Ajay Chakrobarty highlighted the necessity of defining clear access controls to ensure that sensitive data is protected and that each user interacts with the system in a manner consistent with their role. This requirement necessitates further discussion to establish a robust authentication and authorization framework.</w:t>
        <w:br/>
        <w:br/>
        <w:t>In conclusion, the "Open Queries" section encapsulates the ongoing discussions and outstanding issues that need to be addressed in subsequent meetings. By systematically resolving these queries, the project can proceed with a clear and unified vision, ensuring that all technical and business objectives are met efficiently.</w:t>
      </w:r>
    </w:p>
    <w:p/>
    <w:p>
      <w:pPr>
        <w:pStyle w:val="SRSHeading2"/>
      </w:pPr>
      <w:r>
        <w:t>Non Functional Requirements</w:t>
      </w:r>
    </w:p>
    <w:p>
      <w:pPr>
        <w:pStyle w:val="SRSNormal"/>
        <w:ind w:left="360"/>
      </w:pPr>
      <w:r>
        <w:t>Purpose: Generate 4 different non functional requirements according to this project.</w:t>
      </w:r>
    </w:p>
    <w:p>
      <w:pPr>
        <w:pStyle w:val="SRSNormal"/>
        <w:spacing w:after="240"/>
        <w:ind w:left="360"/>
      </w:pPr>
      <w:r>
        <w:t>Source: Custom Section</w:t>
      </w:r>
    </w:p>
    <w:p>
      <w:pPr>
        <w:pStyle w:val="SRSNormal"/>
        <w:spacing w:after="240"/>
        <w:ind w:left="360"/>
      </w:pPr>
      <w:r>
        <w:t>**Non-Functional Requirements**</w:t>
        <w:br/>
        <w:br/>
        <w:t>This section outlines the non-functional requirements for the AI-driven educational platform, as discussed during the meetings. These requirements ensure the system's performance, reliability, and usability align with the strategic objectives of supporting schools in inspection readiness, lesson planning, and marketing insights.</w:t>
        <w:br/>
        <w:br/>
        <w:t>1. **System Performance and Scalability**: The platform must support real-time data processing and analysis to assist school leaders and teachers in making timely decisions. As per the discussions, the system should handle up to 10 concurrent users per subscription level, with scalable hardware options to accommodate larger user bases if necessary. This requirement is critical to ensure the system remains responsive during peak usage times, such as before inspections or report generation.</w:t>
        <w:br/>
        <w:br/>
        <w:t>2. **Data Privacy and Security**: Given the sensitive nature of educational data, the system must comply with GDPR and regional data protection laws, including those specific to the UAE and Dubai. The non-functional requirements emphasize the importance of maintaining data confidentiality and integrity, with offline deployment as a primary approach to ensure data security. The platform should also accommodate potential future transitions to a secure cloud-based model for broader adoption, as indicated by Riza Kaya.</w:t>
        <w:br/>
        <w:br/>
        <w:t>3. **User Interface Consistency**: A consistent user interface similar to ChatGPT is prioritized to ensure ease of use and familiarity for users. This design choice aims to reduce the learning curve for educators and administrators, allowing them to focus more on content and less on navigating the system. The UI should be intuitive, supporting text-based interactions and providing templates for various tasks, such as creating reports or analyzing student data.</w:t>
        <w:br/>
        <w:br/>
        <w:t>4. **Integration Capabilities**: The platform needs to integrate seamlessly with existing school systems, including MIS and LMS platforms like iSAMS and Veracross. As discussed, API integrations are crucial for data synchronization and retrieval, enabling the system to function effectively without manual data entry. The ability to pull relevant data from these sources into a centralized repository is vital for providing comprehensive insights and analytics.</w:t>
        <w:br/>
        <w:br/>
        <w:t>5. **Reliability and Maintenance**: The system must offer high reliability, with minimal downtime, to support the continuous operation of educational activities. Regular updates and maintenance should be planned to enhance the system's capabilities and address any emerging issues. Additionally, the system should include a notification mechanism to inform users when data processing tasks, such as indexing or report generation, are completed.</w:t>
        <w:br/>
        <w:br/>
        <w:t>6. **Accessibility and Localization**: While the initial focus is on English, the platform should eventually support Arabic to cater to the regional demographic. This includes translating interfaces and outputs while ensuring that voice commands and interactions remain accurate and effective across different languages. The system should also accommodate various user roles and permissions, providing tailored access to features based on user requirements.</w:t>
        <w:br/>
        <w:br/>
        <w:t>These non-functional requirements are designed to ensure that the platform not only meets the immediate needs of schools but also remains adaptable and scalable for future enhancements and expansions into other educational and administrative verticals.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