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User Interface</w:t>
      </w:r>
    </w:p>
    <w:p>
      <w:pPr>
        <w:pStyle w:val="SRSHeading2"/>
      </w:pPr>
      <w:r>
        <w:t>Introduction</w:t>
      </w:r>
    </w:p>
    <w:p>
      <w:pPr>
        <w:pStyle w:val="SRSNormal"/>
        <w:ind w:left="720"/>
      </w:pPr>
      <w:r>
        <w:t>1. Document Purpose</w:t>
      </w:r>
    </w:p>
    <w:p>
      <w:pPr>
        <w:pStyle w:val="SRSNormal"/>
        <w:ind w:left="720"/>
      </w:pPr>
      <w:r>
        <w:t>2. Acronyms and Abbreviations</w:t>
      </w:r>
    </w:p>
    <w:p>
      <w:pPr>
        <w:pStyle w:val="SRSHeading2"/>
      </w:pPr>
      <w:r>
        <w:t>Custom</w:t>
      </w:r>
    </w:p>
    <w:p>
      <w:pPr>
        <w:pStyle w:val="SRSNormal"/>
        <w:ind w:left="720"/>
      </w:pPr>
      <w:r>
        <w:t>1. open queries</w:t>
      </w:r>
    </w:p>
    <w:p>
      <w:pPr>
        <w:pStyle w:val="SRSNormal"/>
        <w:ind w:left="720"/>
      </w:pPr>
      <w:r>
        <w:t>2. open queries</w:t>
      </w:r>
    </w:p>
    <w:p>
      <w:r>
        <w:br w:type="page"/>
      </w:r>
    </w:p>
    <w:p>
      <w:pPr>
        <w:pStyle w:val="SRSHeading1"/>
      </w:pPr>
      <w:r>
        <w:t>AI</w:t>
      </w:r>
    </w:p>
    <w:p>
      <w:pPr>
        <w:pStyle w:val="SRSHeading2"/>
      </w:pPr>
      <w:r>
        <w:t>User Interface</w:t>
      </w:r>
    </w:p>
    <w:p>
      <w:pPr>
        <w:pStyle w:val="SRSNormal"/>
        <w:ind w:left="360"/>
      </w:pPr>
      <w:r>
        <w:t>Purpose: UI/UX specifications and wireframes</w:t>
      </w:r>
    </w:p>
    <w:p>
      <w:pPr>
        <w:pStyle w:val="SRSNormal"/>
        <w:spacing w:after="240"/>
        <w:ind w:left="360"/>
      </w:pPr>
      <w:r>
        <w:t>Source: AI Generated</w:t>
      </w:r>
    </w:p>
    <w:p>
      <w:pPr>
        <w:pStyle w:val="SRSNormal"/>
        <w:spacing w:after="240"/>
        <w:ind w:left="360"/>
      </w:pPr>
      <w:r>
        <w:t>## User Interface</w:t>
        <w:br/>
        <w:br/>
        <w:t>### Overview</w:t>
        <w:br/>
        <w:t>The User Interface (UI) section details the design and user experience specifications for the AI-driven education tools aimed at supporting schools with inspection readiness, lesson planning, and academic performance tracking. As discussed in the meeting, the focus is on creating an intuitive, user-friendly interface that aligns with the product's goal of providing offline AI tools tailored for top-tier international schools. The UI must facilitate easy navigation and access to various modules such as inspection readiness, curriculum enhancement, and performance analysis.</w:t>
        <w:br/>
        <w:br/>
        <w:t>### UI/UX Design Specifications</w:t>
        <w:br/>
        <w:t>The design team, led by Senior UI/UX Designer Aesha Thakkar and UI/UX Designer Ishika Anandani, emphasized the importance of developing a modern interface that does not appear outdated. They are responsible for ensuring that the visual elements, including colors, fonts, and layouts, are both aesthetically pleasing and easy to use. The design process will begin after the functional workflows are clearly defined, as the team is keen on aligning the visual design with the technical specifications of the system.</w:t>
        <w:br/>
        <w:br/>
        <w:t>### Use Case Integration</w:t>
        <w:br/>
        <w:t>The user interface must seamlessly integrate with the identified use cases: AI-driven inspection readiness, curriculum enhancement, academic performance tracking, and future marketing and admissions support. For the inspection readiness module, the UI should enable school leaders to upload and analyze inspection documents using a RAG system. The curriculum enhancement module will require an interface that supports integration with school MIS systems, allowing users to access and personalize lesson planning tools efficiently.</w:t>
        <w:br/>
        <w:br/>
        <w:t>### Technical Specifications</w:t>
        <w:br/>
        <w:t>The UI will need to support both offline and cloud-based deployments, as discussed by Suhail Ahmed and Riza Kaya. While the primary focus is offline deployment for top-tier schools, the option for a secure, multi-tenant setup on a web server is also considered. This dual approach ensures flexibility for schools with varying technical capabilities. The interface should facilitate the uploading of PDF and Word documents, and provide visual representations such as charts and graphs, which are crucial for inspection and performance analysis.</w:t>
        <w:br/>
        <w:br/>
        <w:t>### Considerations and Constraints</w:t>
        <w:br/>
        <w:t>The primary constraint is the need for an offline solution that can seamlessly transition to a web-based model if required. This requires careful design to ensure that the user experience remains consistent across different deployment models. Additionally, the interface must handle the complexity of integrating data from various school systems while maintaining ease of use for school administrators and leaders. The design team is tasked with creating a lean and scalable UI that can adapt to future customization and updates as the project evolves.</w:t>
        <w:br/>
        <w:br/>
        <w:t>### Decisions and Next Steps</w:t>
        <w:br/>
        <w:t>The meeting concluded with an agreement to focus initially on the technical workflows before finalizing the UI/UX design. The design team will work closely with the technical team to ensure that the UI supports the functional requirements of each module. It was decided that the UI should be flexible enough to accommodate the specific needs of different schools, without requiring extensive customization. The next steps involve refining the workflows and beginning the design process in alignment with the technical architecture.</w:t>
      </w:r>
    </w:p>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 Document Purpose</w:t>
        <w:br/>
        <w:br/>
        <w:t>The purpose of this Software Requirements Specification (SRS) document is to provide a detailed description of the AI-driven education tools project initiated between MSBC and Riza Kaya's team. This document serves as a comprehensive guide outlining the project vision, specific requirements, and technical considerations discussed during the initial kick-off meeting held on May 29. The collaboration aims to develop a suite of modular AI tools tailored for international schools to enhance inspection readiness, lesson planning, academic performance tracking, and marketing and admissions support.</w:t>
        <w:br/>
        <w:br/>
        <w:t>The project is designed to cater to high-tier international schools, emphasizing offline AI tools. These tools are expected to facilitate school inspection processes using a RAG (Red, Amber, Green) system, help in curriculum enhancement, and replace current Power BI setups for academic performance tracking with AI-enabled visual reporting. The technical requirements discussed include data integration from existing Management Information Systems (MIS) such as iSAMS and Veracross, and Learning Management Systems (LMS), with a preference for offline deployment complemented by optional cloud-based solutions.</w:t>
        <w:br/>
        <w:br/>
        <w:t>During the meeting, it was decided that each use case should function as an independent module to ensure flexibility and scalability. This modular architecture is critical, as it allows schools to adopt only the components they need without the necessity of full-scale system customization. The discussion highlighted the importance of a unified data repository and API layer to centralize data handling and improve user experience. This approach addresses the current challenges schools face, such as scattered data and inefficient workflows, by centralizing all relevant data into a single, accessible platform.</w:t>
        <w:br/>
        <w:br/>
        <w:t>The meeting also underscored the need for rapid development of a Minimum Viable Product (MVP) due to the high demand from schools. Specific technical specifications include the potential for generating customizable reports in various formats, such as PDF or Word, to align with existing school reporting standards. Moreover, the system should support offline functionality, with the possibility of extending to a secure, cloud-based, multi-tenant architecture for wider adoption.</w:t>
        <w:br/>
        <w:br/>
        <w:t>Constraints discussed involve ensuring the system's offline capability, which is a unique selling point for top-tier schools, while also allowing for a cloud-based option for broader market appeal. Additionally, the system must effectively handle data from PDF documents, which can include complex elements like images and tables, a noted challenge in the meeting. The integration of API endpoints with government inspection data sources, such as KHDA and ADEC, was identified as a strategic goal to streamline data acquisition and enhance system functionality.</w:t>
        <w:br/>
        <w:br/>
        <w:t>In conclusion, this SRS document will serve as a foundational blueprint for the development of the AI-driven education tools, guiding the project through its initial phases and ensuring alignment with the specified requirements and technical considerations outlined during the kick-off meeting. The document will be a living artifact, evolving alongside the project to incorporate any new insights or requirements that emerge in subsequent workshops and meetings.</w:t>
      </w:r>
    </w:p>
    <w:p>
      <w:pPr>
        <w:pStyle w:val="SRSHeading2"/>
      </w:pPr>
      <w:r>
        <w:t>Acronyms and Abbreviations</w:t>
      </w:r>
    </w:p>
    <w:p>
      <w:pPr>
        <w:pStyle w:val="SRSNormal"/>
        <w:ind w:left="360"/>
      </w:pPr>
      <w:r>
        <w:t>Purpose: Describe the acronyms and abbreviations aspects of the system</w:t>
      </w:r>
    </w:p>
    <w:p>
      <w:pPr>
        <w:pStyle w:val="SRSNormal"/>
        <w:spacing w:after="240"/>
        <w:ind w:left="360"/>
      </w:pPr>
      <w:r>
        <w:t>Source: Extracted from Documents</w:t>
      </w:r>
    </w:p>
    <w:p>
      <w:pPr>
        <w:pStyle w:val="SRSNormal"/>
        <w:spacing w:after="240"/>
        <w:ind w:left="360"/>
      </w:pPr>
      <w:r>
        <w:t>## Acronyms and Abbreviations</w:t>
        <w:br/>
        <w:br/>
        <w:t>This section provides an overview of the acronyms and abbreviations pertinent to the AI-driven education tools project being developed collaboratively by MSBC and Riza Kaya's team. The project focuses on delivering modular, offline AI tools tailored for international schools to enhance inspection readiness, lesson planning, personalized teaching, and admissions/marketing insights. The acronyms and abbreviations used throughout the project documentation are critical for ensuring clarity and understanding among the team members and stakeholders.</w:t>
        <w:br/>
        <w:br/>
        <w:t>**1. AI (Artificial Intelligence):** The core technology driving the development of the educational tools. AI is utilized for inspection readiness, curriculum enhancement, performance tracking, and marketing/admissions support as discussed in the meeting (Page 2).</w:t>
        <w:br/>
        <w:br/>
        <w:t>**2. MSBC:** The organization responsible for technical development and project management in collaboration with Riza Kaya's team. Key roles from MSBC include Shakti Gohil (Project Facilitator), Aesha Thakkar (Senior UI/UX Designer), Ajay Chakrobarty (Scrum Master &amp; Business Analyst), and Suhail Ahmed (Technical Lead, AI &amp; Systems) (Page 1).</w:t>
        <w:br/>
        <w:br/>
        <w:t>**3. RAG (Red, Amber, Green) System:** A method mentioned for supporting AI-driven inspection readiness by providing automated analysis of inspection documents. This system is aimed at helping schools assess and improve their inspection outcomes (Page 2).</w:t>
        <w:br/>
        <w:br/>
        <w:t>**4. MIS (Management Information System):** A critical component for curriculum enhancement and personalized lesson planning. Data from MIS systems will be integrated via API to enhance the educational tools, as discussed during the meeting (Page 2).</w:t>
        <w:br/>
        <w:br/>
        <w:t>**5. LMS (Learning Management System):** Another source of data integration discussed in the meeting. The LMS systems will provide necessary data inputs for AI tools to support lesson planning and performance analysis (Page 2).</w:t>
        <w:br/>
        <w:br/>
        <w:t>The meeting highlighted the importance of these systems in creating a unified repository and API layer necessary for the project's success. The decision to employ a modular architecture ensures flexibility for schools, allowing them to adopt solutions that best fit their needs. Both offline and cloud deployment options were discussed, catering to top-tier international schools with varying resource capabilities (Page 2).</w:t>
        <w:br/>
        <w:br/>
        <w:t>In terms of technical considerations, the team acknowledged the potential challenges in dealing with data sourced from PDF reports, MIS, and LMS systems. The need for robust API integrations with major MIS providers such as iSAMS and Veracross was emphasized. Additionally, the project aims to generate dynamic, customizable reports in formats like PDF or Word, which aligns with the inspection readiness and curriculum enhancement objectives (Page 2).</w:t>
        <w:br/>
        <w:br/>
        <w:t>Constraints and considerations were also discussed, particularly regarding data centralization and customization versus standardization. The project must address the scattered data and lack of integration currently present in schools. A lean build with a roadmap for future customization was highlighted as crucial for meeting market demands and ensuring rapid MVP development (Page 2).</w:t>
      </w:r>
    </w:p>
    <w:p/>
    <w:p>
      <w:pPr>
        <w:pStyle w:val="SRSHeading1"/>
      </w:pPr>
      <w:r>
        <w:t>Custom</w:t>
      </w:r>
    </w:p>
    <w:p>
      <w:pPr>
        <w:pStyle w:val="SRSHeading2"/>
      </w:pPr>
      <w:r>
        <w:t>open queries</w:t>
      </w:r>
    </w:p>
    <w:p>
      <w:pPr>
        <w:pStyle w:val="SRSNormal"/>
        <w:ind w:left="360"/>
      </w:pPr>
      <w:r>
        <w:t>Purpose: take feedback</w:t>
      </w:r>
    </w:p>
    <w:p>
      <w:pPr>
        <w:pStyle w:val="SRSNormal"/>
        <w:spacing w:after="240"/>
        <w:ind w:left="360"/>
      </w:pPr>
      <w:r>
        <w:t>Source: Custom Section</w:t>
      </w:r>
    </w:p>
    <w:p>
      <w:pPr>
        <w:pStyle w:val="SRSNormal"/>
        <w:spacing w:after="240"/>
        <w:ind w:left="360"/>
      </w:pPr>
      <w:r>
        <w:t>## Open Queries</w:t>
        <w:br/>
        <w:br/>
        <w:t>This section of the Software Requirements Specification (SRS) document addresses open queries and feedback from the kick-off meeting held on May 29 between MSBC and Riza Kaya's team. The meeting laid the groundwork for developing AI-driven education tools aimed at aiding schools with inspection readiness, lesson planning, and performance analysis. During the session, various questions and considerations were raised, forming the basis for further exploration and clarification in upcoming workshops.</w:t>
        <w:br/>
        <w:br/>
        <w:t>One of the primary open queries pertains to the integration and handling of inspection reports. The meeting highlighted the necessity of using a RAG system to manage and evaluate inspection data. However, Riza Kaya pointed out the complexity involved in processing PDF documents that contain images, graphs, and tables. This brings up the need for a tool that can effectively dissect and categorize these elements to generate actionable insights. Additionally, the requirement to produce output in a format similar to existing school reports was emphasized, necessitating further discussion on the system's ability to generate and customize output documents.</w:t>
        <w:br/>
        <w:br/>
        <w:t>Another critical discussion point involved the deployment options for the AI tools. Riza Kaya's team expressed a preference for offline solutions, reflecting their focus on top-tier schools that may have the resources to manage on-premise systems. However, the potential for cloud-based deployment was also acknowledged to cater to schools with different infrastructure capabilities. This dual approach requires detailed exploration of the technical feasibility and cost implications of supporting both offline and cloud-based models, as proposed by Suhail Ahmed.</w:t>
        <w:br/>
        <w:br/>
        <w:t>The integration with existing school management systems was also a significant topic of discussion. Riza Kaya mentioned partnerships with major MIS providers like iSAMS and Veracross, underscoring the importance of seamless API integrations to extract and centralize data. The need to connect disparate data sources into a unified dashboard was identified as a critical requirement to facilitate efficient lesson planning and performance tracking. This integration would necessitate validating the availability of APIs or database access to pull necessary data into the AI systems.</w:t>
        <w:br/>
        <w:br/>
        <w:t>Furthermore, the meeting raised the issue of data centralization as a backbone for the proposed AI tools. The challenge lies in creating a single repository that can store and manage data from various sources, including inspection reports, curriculum data, and performance metrics. Riza Kaya suggested an approach involving local databases with periodic synchronization to ensure data availability without constant live syncing. This approach requires careful consideration of the technical specifications and potential constraints in achieving efficient data centralization.</w:t>
        <w:br/>
        <w:br/>
        <w:t>Lastly, the meeting touched upon the roadmap for future enhancements, including the possibility of incorporating computer vision models for broader inspection criteria. While this was deemed out of scope for the initial phase, it was suggested as a potential future enhancement. The team agreed to prioritize the primary use cases while maintaining flexibility for future expansion, ensuring that the solution remains scalable and adaptable to evolving needs.</w:t>
      </w:r>
    </w:p>
    <w:p>
      <w:pPr>
        <w:pStyle w:val="SRSHeading2"/>
      </w:pPr>
      <w:r>
        <w:t>open queries</w:t>
      </w:r>
    </w:p>
    <w:p>
      <w:pPr>
        <w:pStyle w:val="SRSNormal"/>
        <w:ind w:left="360"/>
      </w:pPr>
      <w:r>
        <w:t>Purpose: take feedback</w:t>
      </w:r>
    </w:p>
    <w:p>
      <w:pPr>
        <w:pStyle w:val="SRSNormal"/>
        <w:spacing w:after="240"/>
        <w:ind w:left="360"/>
      </w:pPr>
      <w:r>
        <w:t>Source: Custom Section</w:t>
      </w:r>
    </w:p>
    <w:p>
      <w:pPr>
        <w:pStyle w:val="SRSNormal"/>
        <w:spacing w:after="240"/>
        <w:ind w:left="360"/>
      </w:pPr>
      <w:r>
        <w:t>### Open Queries</w:t>
        <w:br/>
        <w:br/>
        <w:t>The "Open Queries" section of the Software Requirements Specification (SRS) document aims to address specific feedback and questions raised during the kick-off meeting between MSBC and Riza Kaya's team. This section focuses on clarifying the project's direction, technology stack, and specific use cases as discussed during the meeting on May 29.</w:t>
        <w:br/>
        <w:br/>
        <w:t>During the meeting, Riza Kaya emphasized the need for offline AI tools designed for top-tier international schools, particularly focusing on inspection readiness and personalized lesson planning. A critical requirement was the implementation of a RAG (Red, Amber, Green) system that would automate the analysis of inspection documents, thereby easing the administrative burden on school leaders. This system intends to streamline the preparation process for inspections, which is currently a time-consuming task taking up to eight months each year. The data required for this system would be sourced from previous inspection reports and other relevant documents, highlighting the need for a centralized repository to store and manage this data.</w:t>
        <w:br/>
        <w:br/>
        <w:t>Key decisions made during the meeting included the modularization of the product to allow schools to select specific use cases relevant to their needs. The project team agreed that while the initial focus would be on offline solutions, there is scope for cloud-based deployment to cater to schools with different infrastructure capabilities. The technical feasibility of this dual approach was discussed, with an emphasis on maintaining a consistent workflow across both offline and cloud solutions. This would ensure that the core functionalities remain intact while offering flexibility in deployment.</w:t>
        <w:br/>
        <w:br/>
        <w:t>Technical specifications discussed in the meeting highlighted the importance of API integrations with major MIS providers like iSAMS and Veracross. These integrations are crucial for fetching real-time data on attendance, curriculum performance, and other metrics necessary for the AI tools to function effectively. Riza Kaya also mentioned potential integrations with government inspection bodies, which could streamline data flow and further enhance the system's capabilities. This aligns with the project's long-term goal of collaborating with local governments in Dubai to incorporate these tools into official inspection frameworks.</w:t>
        <w:br/>
        <w:br/>
        <w:t>Constraints and considerations were also discussed, particularly regarding data privacy and security. As the tools are intended for international schools, the solutions must comply with varying regional regulations on data protection. The team recognized the challenge of managing data from multiple sources and ensuring its integrity and confidentiality. Furthermore, the necessity of a lean product that can be quickly deployed and scaled was emphasized, given the high demand from schools and the competitive edge it would provide.</w:t>
        <w:br/>
        <w:br/>
        <w:t>In conclusion, the meeting underscored the need for a well-documented blueprint that captures evolving business requirements and translates them into technical specifications. This approach will help ensure that the project meets its objectives and adapts to future educational needs. The subsequent workshops will focus on refining these requirements and addressing any remaining technical queries to facilitate a smooth development process.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