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1"/>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SRS Project</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pPr>
      <w:r>
        <w:rPr>
          <w:b/>
        </w:rPr>
        <w:t>2 System Requirements</w:t>
      </w:r>
    </w:p>
    <w:p>
      <w:pPr>
        <w:pStyle w:val="SRSNormal"/>
        <w:ind w:left="720"/>
      </w:pPr>
      <w:r>
        <w:t>2.1 User Interface</w:t>
      </w:r>
    </w:p>
    <w:p>
      <w:pPr>
        <w:pStyle w:val="SRSNormal"/>
        <w:ind w:left="720"/>
      </w:pPr>
      <w:r>
        <w:t>2.2 Database</w:t>
      </w:r>
    </w:p>
    <w:p>
      <w:pPr>
        <w:pStyle w:val="SRSNormal"/>
        <w:ind w:left="720"/>
      </w:pPr>
      <w:r>
        <w:t>2.3 Constraints and Limitation</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defines the functional and non-functional requirements for Canary.ai, an AI-powered call analytics platform designed for the hospitality industry. The system shall capture, process, and analyze call data to provide actionable insights for restaurants. It shall support call forwarding, management, and detailed analytics including sentiment and keyword detection. The platform shall ensure a user-friendly interface and robust data privacy compliance. Ultimately, Canary.ai shall empower restaurant owners to enhance operational efficiency and evaluate marketing campaign effectiveness through comprehensive call intelligence.</w:t>
      </w:r>
    </w:p>
    <w:p/>
    <w:p>
      <w:pPr>
        <w:pStyle w:val="SRSHeading1"/>
      </w:pPr>
      <w:r>
        <w:t>2 System Requirements</w:t>
      </w:r>
    </w:p>
    <w:p>
      <w:pPr>
        <w:pStyle w:val="SRSHeading2"/>
        <w:spacing w:after="240"/>
      </w:pPr>
      <w:r>
        <w:rPr>
          <w:rFonts w:ascii="Cambria" w:hAnsi="Cambria"/>
          <w:color w:val="4682B4"/>
        </w:rPr>
        <w:t>2.1 User Interface</w:t>
      </w:r>
    </w:p>
    <w:p>
      <w:pPr>
        <w:pStyle w:val="SRSNormal"/>
        <w:jc w:val="both"/>
      </w:pPr>
      <w:r>
        <w:rPr>
          <w:rFonts w:ascii="Cambria" w:hAnsi="Cambria"/>
          <w:color w:val="000000"/>
        </w:rPr>
        <w:t>The system user interface shall be designed for simplicity, ease of use, and engaging interaction, specifically catering to non-technical restaurant personnel. The aesthetic shall employ a primary black and white color scheme, augmented by a singular accent color for visual emphasis. The "Outfit" typeface shall be uniformly applied across the system to maintain a clean and modern appearance. The system logo shall feature a refined, modern, and aerodynamic bird motif. Overall, the user interface shall ensure an intuitive experience requiring minimal user training.</w:t>
      </w:r>
    </w:p>
    <w:p>
      <w:pPr>
        <w:pStyle w:val="SRSHeading2"/>
        <w:spacing w:after="240"/>
      </w:pPr>
      <w:r>
        <w:rPr>
          <w:rFonts w:ascii="Cambria" w:hAnsi="Cambria"/>
          <w:color w:val="4682B4"/>
        </w:rPr>
        <w:t>2.2 Database</w:t>
      </w:r>
    </w:p>
    <w:p>
      <w:pPr>
        <w:pStyle w:val="SRSNormal"/>
        <w:jc w:val="both"/>
      </w:pPr>
      <w:r>
        <w:rPr>
          <w:rFonts w:ascii="Cambria" w:hAnsi="Cambria"/>
          <w:color w:val="000000"/>
        </w:rPr>
        <w:t>The system shall incorporate a custom database for keyword and topic detection, forming a critical component of the call analytics platform. This database shall initially support English language data, with provisions for future expansion to multilingual capabilities. The system shall utilize a hybrid approach, leveraging an LLM to dynamically build and enhance the database over time, improving the accuracy and comprehensiveness of stored information. This custom database shall serve as a foundational element for generating actionable insights from call data. The system shall ensure efficient storage and retrieval of all relevant call-related information within this database.</w:t>
      </w:r>
    </w:p>
    <w:p>
      <w:pPr>
        <w:pStyle w:val="SRSHeading2"/>
        <w:spacing w:after="240"/>
      </w:pPr>
      <w:r>
        <w:rPr>
          <w:rFonts w:ascii="Cambria" w:hAnsi="Cambria"/>
          <w:color w:val="4682B4"/>
        </w:rPr>
        <w:t>2.3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33</w:t>
      </w:r>
    </w:p>
    <w:p>
      <w:pPr>
        <w:pStyle w:val="SRSNormal"/>
        <w:jc w:val="both"/>
      </w:pPr>
      <w:r>
        <w:rPr>
          <w:rFonts w:ascii="Cambria" w:hAnsi="Cambria"/>
          <w:color w:val="000000"/>
        </w:rPr>
        <w:t>}</w:t>
      </w:r>
    </w:p>
    <w:p>
      <w:pPr>
        <w:pStyle w:val="SRSNormal"/>
        <w:jc w:val="both"/>
      </w:pPr>
      <w:r>
        <w:rPr>
          <w:rFonts w:ascii="Cambria" w:hAnsi="Cambria"/>
          <w:color w:val="000000"/>
        </w:rPr>
        <w:t>]</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20" w:val="right"/>
      </w:tabs>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