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Project Purpose</w:t>
      </w:r>
    </w:p>
    <w:p>
      <w:pPr>
        <w:pStyle w:val="SRSNormal"/>
        <w:ind w:left="720"/>
      </w:pPr>
      <w:r>
        <w:t>1.2 Acronyms and Abbreviations</w:t>
      </w:r>
    </w:p>
    <w:p>
      <w:r>
        <w:br w:type="page"/>
      </w:r>
    </w:p>
    <w:p>
      <w:pPr>
        <w:pStyle w:val="SRSHeading1"/>
      </w:pPr>
      <w:r>
        <w:t>1 Introduction</w:t>
      </w:r>
    </w:p>
    <w:p>
      <w:pPr>
        <w:pStyle w:val="SRSHeading2"/>
        <w:spacing w:after="240"/>
      </w:pPr>
      <w:r>
        <w:rPr>
          <w:rFonts w:ascii="Cambria" w:hAnsi="Cambria"/>
          <w:color w:val="4682B4"/>
        </w:rPr>
        <w:t>1.1 Project Purpose</w:t>
      </w:r>
    </w:p>
    <w:p>
      <w:pPr>
        <w:pStyle w:val="SRSNormal"/>
      </w:pPr>
    </w:p>
    <w:p>
      <w:pPr>
        <w:pStyle w:val="SRSNormal"/>
        <w:jc w:val="both"/>
      </w:pPr>
      <w:r>
        <w:rPr>
          <w:rFonts w:ascii="Cambria" w:hAnsi="Cambria"/>
          <w:color w:val="000000"/>
        </w:rPr>
        <w:t>The system shall provide AI-driven educational tools designed to support schools in various functions. The primary objective shall be to deliver offline AI capabilities, ensuring data privacy and security. The system shall focus on modularity and scalability to cater to the diverse needs of international schools. This will include AI-driven school inspection readiness, personalized lesson planning and academic performance insights.</w:t>
      </w:r>
    </w:p>
    <w:p>
      <w:pPr>
        <w:pStyle w:val="SRSHeading2"/>
        <w:spacing w:after="240"/>
      </w:pPr>
      <w:r>
        <w:rPr>
          <w:rFonts w:ascii="Cambria" w:hAnsi="Cambria"/>
          <w:color w:val="4682B4"/>
        </w:rPr>
        <w:t>1.2 Acronyms and Abbreviations</w:t>
      </w:r>
    </w:p>
    <w:p>
      <w:pPr>
        <w:pStyle w:val="SRSHeading2"/>
      </w:pPr>
      <w:r>
        <w:rPr>
          <w:rFonts w:ascii="Cambria" w:hAnsi="Cambria"/>
          <w:color w:val="4682B4"/>
        </w:rPr>
        <w:t>Acronyms and Abbreviations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Acronym</w:t>
            </w:r>
          </w:p>
        </w:tc>
        <w:tc>
          <w:tcPr>
            <w:tcW w:type="dxa" w:w="4320"/>
          </w:tcPr>
          <w:p>
            <w:r/>
            <w:r>
              <w:rPr>
                <w:rFonts w:ascii="Cambria" w:hAnsi="Cambria"/>
                <w:b/>
                <w:color w:val="000000"/>
              </w:rPr>
              <w:t>Full Form</w:t>
            </w:r>
          </w:p>
        </w:tc>
      </w:tr>
      <w:tr>
        <w:tc>
          <w:tcPr>
            <w:tcW w:type="dxa" w:w="4320"/>
          </w:tcPr>
          <w:p>
            <w:pPr>
              <w:jc w:val="left"/>
            </w:pPr>
            <w:r/>
            <w:r>
              <w:rPr>
                <w:rFonts w:ascii="Cambria" w:hAnsi="Cambria"/>
                <w:color w:val="000000"/>
              </w:rPr>
              <w:t>ADEC</w:t>
            </w:r>
          </w:p>
        </w:tc>
        <w:tc>
          <w:tcPr>
            <w:tcW w:type="dxa" w:w="4320"/>
          </w:tcPr>
          <w:p>
            <w:pPr>
              <w:jc w:val="left"/>
            </w:pPr>
            <w:r/>
            <w:r>
              <w:rPr>
                <w:rFonts w:ascii="Cambria" w:hAnsi="Cambria"/>
                <w:color w:val="000000"/>
              </w:rPr>
              <w:t>Abu Dhabi Department of Education and Knowledge</w:t>
            </w:r>
          </w:p>
        </w:tc>
      </w:tr>
      <w:tr>
        <w:tc>
          <w:tcPr>
            <w:tcW w:type="dxa" w:w="4320"/>
          </w:tcPr>
          <w:p>
            <w:pPr>
              <w:jc w:val="left"/>
            </w:pPr>
            <w:r/>
            <w:r>
              <w:rPr>
                <w:rFonts w:ascii="Cambria" w:hAnsi="Cambria"/>
                <w:color w:val="000000"/>
              </w:rPr>
              <w:t>AI</w:t>
            </w:r>
          </w:p>
        </w:tc>
        <w:tc>
          <w:tcPr>
            <w:tcW w:type="dxa" w:w="4320"/>
          </w:tcPr>
          <w:p>
            <w:pPr>
              <w:jc w:val="left"/>
            </w:pPr>
            <w:r/>
            <w:r>
              <w:rPr>
                <w:rFonts w:ascii="Cambria" w:hAnsi="Cambria"/>
                <w:color w:val="000000"/>
              </w:rPr>
              <w:t>Artificial Intelligence</w:t>
            </w:r>
          </w:p>
        </w:tc>
      </w:tr>
      <w:tr>
        <w:tc>
          <w:tcPr>
            <w:tcW w:type="dxa" w:w="4320"/>
          </w:tcPr>
          <w:p>
            <w:pPr>
              <w:jc w:val="left"/>
            </w:pPr>
            <w:r/>
            <w:r>
              <w:rPr>
                <w:rFonts w:ascii="Cambria" w:hAnsi="Cambria"/>
                <w:color w:val="000000"/>
              </w:rPr>
              <w:t>AMC</w:t>
            </w:r>
          </w:p>
        </w:tc>
        <w:tc>
          <w:tcPr>
            <w:tcW w:type="dxa" w:w="4320"/>
          </w:tcPr>
          <w:p>
            <w:pPr>
              <w:jc w:val="left"/>
            </w:pPr>
            <w:r/>
            <w:r>
              <w:rPr>
                <w:rFonts w:ascii="Cambria" w:hAnsi="Cambria"/>
                <w:color w:val="000000"/>
              </w:rPr>
              <w:t>Annual Maintenance Contract</w:t>
            </w:r>
          </w:p>
        </w:tc>
      </w:tr>
      <w:tr>
        <w:tc>
          <w:tcPr>
            <w:tcW w:type="dxa" w:w="4320"/>
          </w:tcPr>
          <w:p>
            <w:pPr>
              <w:jc w:val="left"/>
            </w:pPr>
            <w:r/>
            <w:r>
              <w:rPr>
                <w:rFonts w:ascii="Cambria" w:hAnsi="Cambria"/>
                <w:color w:val="000000"/>
              </w:rPr>
              <w:t>API</w:t>
            </w:r>
          </w:p>
        </w:tc>
        <w:tc>
          <w:tcPr>
            <w:tcW w:type="dxa" w:w="4320"/>
          </w:tcPr>
          <w:p>
            <w:pPr>
              <w:jc w:val="left"/>
            </w:pPr>
            <w:r/>
            <w:r>
              <w:rPr>
                <w:rFonts w:ascii="Cambria" w:hAnsi="Cambria"/>
                <w:color w:val="000000"/>
              </w:rPr>
              <w:t>Application Programming Interface</w:t>
            </w:r>
          </w:p>
        </w:tc>
      </w:tr>
      <w:tr>
        <w:tc>
          <w:tcPr>
            <w:tcW w:type="dxa" w:w="4320"/>
          </w:tcPr>
          <w:p>
            <w:pPr>
              <w:jc w:val="left"/>
            </w:pPr>
            <w:r/>
            <w:r>
              <w:rPr>
                <w:rFonts w:ascii="Cambria" w:hAnsi="Cambria"/>
                <w:color w:val="000000"/>
              </w:rPr>
              <w:t>CBSC</w:t>
            </w:r>
          </w:p>
        </w:tc>
        <w:tc>
          <w:tcPr>
            <w:tcW w:type="dxa" w:w="4320"/>
          </w:tcPr>
          <w:p>
            <w:pPr>
              <w:jc w:val="left"/>
            </w:pPr>
            <w:r/>
            <w:r>
              <w:rPr>
                <w:rFonts w:ascii="Cambria" w:hAnsi="Cambria"/>
                <w:color w:val="000000"/>
              </w:rPr>
              <w:t>Central Board of Secondary Education</w:t>
            </w:r>
          </w:p>
        </w:tc>
      </w:tr>
      <w:tr>
        <w:tc>
          <w:tcPr>
            <w:tcW w:type="dxa" w:w="4320"/>
          </w:tcPr>
          <w:p>
            <w:pPr>
              <w:jc w:val="left"/>
            </w:pPr>
            <w:r/>
            <w:r>
              <w:rPr>
                <w:rFonts w:ascii="Cambria" w:hAnsi="Cambria"/>
                <w:color w:val="000000"/>
              </w:rPr>
              <w:t>CSV</w:t>
            </w:r>
          </w:p>
        </w:tc>
        <w:tc>
          <w:tcPr>
            <w:tcW w:type="dxa" w:w="4320"/>
          </w:tcPr>
          <w:p>
            <w:pPr>
              <w:jc w:val="left"/>
            </w:pPr>
            <w:r/>
            <w:r>
              <w:rPr>
                <w:rFonts w:ascii="Cambria" w:hAnsi="Cambria"/>
                <w:color w:val="000000"/>
              </w:rPr>
              <w:t>Comma Separated Values</w:t>
            </w:r>
          </w:p>
        </w:tc>
      </w:tr>
      <w:tr>
        <w:tc>
          <w:tcPr>
            <w:tcW w:type="dxa" w:w="4320"/>
          </w:tcPr>
          <w:p>
            <w:pPr>
              <w:jc w:val="left"/>
            </w:pPr>
            <w:r/>
            <w:r>
              <w:rPr>
                <w:rFonts w:ascii="Cambria" w:hAnsi="Cambria"/>
                <w:color w:val="000000"/>
              </w:rPr>
              <w:t>EAL</w:t>
            </w:r>
          </w:p>
        </w:tc>
        <w:tc>
          <w:tcPr>
            <w:tcW w:type="dxa" w:w="4320"/>
          </w:tcPr>
          <w:p>
            <w:pPr>
              <w:jc w:val="left"/>
            </w:pPr>
            <w:r/>
            <w:r>
              <w:rPr>
                <w:rFonts w:ascii="Cambria" w:hAnsi="Cambria"/>
                <w:color w:val="000000"/>
              </w:rPr>
              <w:t>English as an Additional Language</w:t>
            </w:r>
          </w:p>
        </w:tc>
      </w:tr>
      <w:tr>
        <w:tc>
          <w:tcPr>
            <w:tcW w:type="dxa" w:w="4320"/>
          </w:tcPr>
          <w:p>
            <w:pPr>
              <w:jc w:val="left"/>
            </w:pPr>
            <w:r/>
            <w:r>
              <w:rPr>
                <w:rFonts w:ascii="Cambria" w:hAnsi="Cambria"/>
                <w:color w:val="000000"/>
              </w:rPr>
              <w:t>ERP</w:t>
            </w:r>
          </w:p>
        </w:tc>
        <w:tc>
          <w:tcPr>
            <w:tcW w:type="dxa" w:w="4320"/>
          </w:tcPr>
          <w:p>
            <w:pPr>
              <w:jc w:val="left"/>
            </w:pPr>
            <w:r/>
            <w:r>
              <w:rPr>
                <w:rFonts w:ascii="Cambria" w:hAnsi="Cambria"/>
                <w:color w:val="000000"/>
              </w:rPr>
              <w:t>Enterprise Resource Planning</w:t>
            </w:r>
          </w:p>
        </w:tc>
      </w:tr>
      <w:tr>
        <w:tc>
          <w:tcPr>
            <w:tcW w:type="dxa" w:w="4320"/>
          </w:tcPr>
          <w:p>
            <w:pPr>
              <w:jc w:val="left"/>
            </w:pPr>
            <w:r/>
            <w:r>
              <w:rPr>
                <w:rFonts w:ascii="Cambria" w:hAnsi="Cambria"/>
                <w:color w:val="000000"/>
              </w:rPr>
              <w:t>FA</w:t>
            </w:r>
          </w:p>
        </w:tc>
        <w:tc>
          <w:tcPr>
            <w:tcW w:type="dxa" w:w="4320"/>
          </w:tcPr>
          <w:p>
            <w:pPr>
              <w:jc w:val="left"/>
            </w:pPr>
            <w:r/>
            <w:r>
              <w:rPr>
                <w:rFonts w:ascii="Cambria" w:hAnsi="Cambria"/>
                <w:color w:val="000000"/>
              </w:rPr>
              <w:t>Formative Assessment</w:t>
            </w:r>
          </w:p>
        </w:tc>
      </w:tr>
      <w:tr>
        <w:tc>
          <w:tcPr>
            <w:tcW w:type="dxa" w:w="4320"/>
          </w:tcPr>
          <w:p>
            <w:pPr>
              <w:jc w:val="left"/>
            </w:pPr>
            <w:r/>
            <w:r>
              <w:rPr>
                <w:rFonts w:ascii="Cambria" w:hAnsi="Cambria"/>
                <w:color w:val="000000"/>
              </w:rPr>
              <w:t>GDPR</w:t>
            </w:r>
          </w:p>
        </w:tc>
        <w:tc>
          <w:tcPr>
            <w:tcW w:type="dxa" w:w="4320"/>
          </w:tcPr>
          <w:p>
            <w:pPr>
              <w:jc w:val="left"/>
            </w:pPr>
            <w:r/>
            <w:r>
              <w:rPr>
                <w:rFonts w:ascii="Cambria" w:hAnsi="Cambria"/>
                <w:color w:val="000000"/>
              </w:rPr>
              <w:t>General Data Protection Regulation</w:t>
            </w:r>
          </w:p>
        </w:tc>
      </w:tr>
      <w:tr>
        <w:tc>
          <w:tcPr>
            <w:tcW w:type="dxa" w:w="4320"/>
          </w:tcPr>
          <w:p>
            <w:pPr>
              <w:jc w:val="left"/>
            </w:pPr>
            <w:r/>
            <w:r>
              <w:rPr>
                <w:rFonts w:ascii="Cambria" w:hAnsi="Cambria"/>
                <w:color w:val="000000"/>
              </w:rPr>
              <w:t>GPU</w:t>
            </w:r>
          </w:p>
        </w:tc>
        <w:tc>
          <w:tcPr>
            <w:tcW w:type="dxa" w:w="4320"/>
          </w:tcPr>
          <w:p>
            <w:pPr>
              <w:jc w:val="left"/>
            </w:pPr>
            <w:r/>
            <w:r>
              <w:rPr>
                <w:rFonts w:ascii="Cambria" w:hAnsi="Cambria"/>
                <w:color w:val="000000"/>
              </w:rPr>
              <w:t>Graphics Processing Unit</w:t>
            </w:r>
          </w:p>
        </w:tc>
      </w:tr>
      <w:tr>
        <w:tc>
          <w:tcPr>
            <w:tcW w:type="dxa" w:w="4320"/>
          </w:tcPr>
          <w:p>
            <w:pPr>
              <w:jc w:val="left"/>
            </w:pPr>
            <w:r/>
            <w:r>
              <w:rPr>
                <w:rFonts w:ascii="Cambria" w:hAnsi="Cambria"/>
                <w:color w:val="000000"/>
              </w:rPr>
              <w:t>HR</w:t>
            </w:r>
          </w:p>
        </w:tc>
        <w:tc>
          <w:tcPr>
            <w:tcW w:type="dxa" w:w="4320"/>
          </w:tcPr>
          <w:p>
            <w:pPr>
              <w:jc w:val="left"/>
            </w:pPr>
            <w:r/>
            <w:r>
              <w:rPr>
                <w:rFonts w:ascii="Cambria" w:hAnsi="Cambria"/>
                <w:color w:val="000000"/>
              </w:rPr>
              <w:t>Human Resources</w:t>
            </w:r>
          </w:p>
        </w:tc>
      </w:tr>
      <w:tr>
        <w:tc>
          <w:tcPr>
            <w:tcW w:type="dxa" w:w="4320"/>
          </w:tcPr>
          <w:p>
            <w:pPr>
              <w:jc w:val="left"/>
            </w:pPr>
            <w:r/>
            <w:r>
              <w:rPr>
                <w:rFonts w:ascii="Cambria" w:hAnsi="Cambria"/>
                <w:color w:val="000000"/>
              </w:rPr>
              <w:t>HOD</w:t>
            </w:r>
          </w:p>
        </w:tc>
        <w:tc>
          <w:tcPr>
            <w:tcW w:type="dxa" w:w="4320"/>
          </w:tcPr>
          <w:p>
            <w:pPr>
              <w:jc w:val="left"/>
            </w:pPr>
            <w:r/>
            <w:r>
              <w:rPr>
                <w:rFonts w:ascii="Cambria" w:hAnsi="Cambria"/>
                <w:color w:val="000000"/>
              </w:rPr>
              <w:t>Head of Department</w:t>
            </w:r>
          </w:p>
        </w:tc>
      </w:tr>
      <w:tr>
        <w:tc>
          <w:tcPr>
            <w:tcW w:type="dxa" w:w="4320"/>
          </w:tcPr>
          <w:p>
            <w:pPr>
              <w:jc w:val="left"/>
            </w:pPr>
            <w:r/>
            <w:r>
              <w:rPr>
                <w:rFonts w:ascii="Cambria" w:hAnsi="Cambria"/>
                <w:color w:val="000000"/>
              </w:rPr>
              <w:t>IB</w:t>
            </w:r>
          </w:p>
        </w:tc>
        <w:tc>
          <w:tcPr>
            <w:tcW w:type="dxa" w:w="4320"/>
          </w:tcPr>
          <w:p>
            <w:pPr>
              <w:jc w:val="left"/>
            </w:pPr>
            <w:r/>
            <w:r>
              <w:rPr>
                <w:rFonts w:ascii="Cambria" w:hAnsi="Cambria"/>
                <w:color w:val="000000"/>
              </w:rPr>
              <w:t>International Baccalaureate</w:t>
            </w:r>
          </w:p>
        </w:tc>
      </w:tr>
      <w:tr>
        <w:tc>
          <w:tcPr>
            <w:tcW w:type="dxa" w:w="4320"/>
          </w:tcPr>
          <w:p>
            <w:pPr>
              <w:jc w:val="left"/>
            </w:pPr>
            <w:r/>
            <w:r>
              <w:rPr>
                <w:rFonts w:ascii="Cambria" w:hAnsi="Cambria"/>
                <w:color w:val="000000"/>
              </w:rPr>
              <w:t>IFC</w:t>
            </w:r>
          </w:p>
        </w:tc>
        <w:tc>
          <w:tcPr>
            <w:tcW w:type="dxa" w:w="4320"/>
          </w:tcPr>
          <w:p>
            <w:pPr>
              <w:jc w:val="left"/>
            </w:pPr>
            <w:r/>
            <w:r>
              <w:rPr>
                <w:rFonts w:ascii="Cambria" w:hAnsi="Cambria"/>
                <w:color w:val="000000"/>
              </w:rPr>
              <w:t>International Financial Centre</w:t>
            </w:r>
          </w:p>
        </w:tc>
      </w:tr>
      <w:tr>
        <w:tc>
          <w:tcPr>
            <w:tcW w:type="dxa" w:w="4320"/>
          </w:tcPr>
          <w:p>
            <w:pPr>
              <w:jc w:val="left"/>
            </w:pPr>
            <w:r/>
            <w:r>
              <w:rPr>
                <w:rFonts w:ascii="Cambria" w:hAnsi="Cambria"/>
                <w:color w:val="000000"/>
              </w:rPr>
              <w:t>ISAMS</w:t>
            </w:r>
          </w:p>
        </w:tc>
        <w:tc>
          <w:tcPr>
            <w:tcW w:type="dxa" w:w="4320"/>
          </w:tcPr>
          <w:p>
            <w:pPr>
              <w:jc w:val="left"/>
            </w:pPr>
            <w:r/>
            <w:r>
              <w:rPr>
                <w:rFonts w:ascii="Cambria" w:hAnsi="Cambria"/>
                <w:color w:val="000000"/>
              </w:rPr>
              <w:t>iSAMS (School Management System)</w:t>
            </w:r>
          </w:p>
        </w:tc>
      </w:tr>
      <w:tr>
        <w:tc>
          <w:tcPr>
            <w:tcW w:type="dxa" w:w="4320"/>
          </w:tcPr>
          <w:p>
            <w:pPr>
              <w:jc w:val="left"/>
            </w:pPr>
            <w:r/>
            <w:r>
              <w:rPr>
                <w:rFonts w:ascii="Cambria" w:hAnsi="Cambria"/>
                <w:color w:val="000000"/>
              </w:rPr>
              <w:t>KHDA</w:t>
            </w:r>
          </w:p>
        </w:tc>
        <w:tc>
          <w:tcPr>
            <w:tcW w:type="dxa" w:w="4320"/>
          </w:tcPr>
          <w:p>
            <w:pPr>
              <w:jc w:val="left"/>
            </w:pPr>
            <w:r/>
            <w:r>
              <w:rPr>
                <w:rFonts w:ascii="Cambria" w:hAnsi="Cambria"/>
                <w:color w:val="000000"/>
              </w:rPr>
              <w:t>Knowledge and Human Development Authority</w:t>
            </w:r>
          </w:p>
        </w:tc>
      </w:tr>
      <w:tr>
        <w:tc>
          <w:tcPr>
            <w:tcW w:type="dxa" w:w="4320"/>
          </w:tcPr>
          <w:p>
            <w:pPr>
              <w:jc w:val="left"/>
            </w:pPr>
            <w:r/>
            <w:r>
              <w:rPr>
                <w:rFonts w:ascii="Cambria" w:hAnsi="Cambria"/>
                <w:color w:val="000000"/>
              </w:rPr>
              <w:t>KPI</w:t>
            </w:r>
          </w:p>
        </w:tc>
        <w:tc>
          <w:tcPr>
            <w:tcW w:type="dxa" w:w="4320"/>
          </w:tcPr>
          <w:p>
            <w:pPr>
              <w:jc w:val="left"/>
            </w:pPr>
            <w:r/>
            <w:r>
              <w:rPr>
                <w:rFonts w:ascii="Cambria" w:hAnsi="Cambria"/>
                <w:color w:val="000000"/>
              </w:rPr>
              <w:t>Key Performance Indicator</w:t>
            </w:r>
          </w:p>
        </w:tc>
      </w:tr>
      <w:tr>
        <w:tc>
          <w:tcPr>
            <w:tcW w:type="dxa" w:w="4320"/>
          </w:tcPr>
          <w:p>
            <w:pPr>
              <w:jc w:val="left"/>
            </w:pPr>
            <w:r/>
            <w:r>
              <w:rPr>
                <w:rFonts w:ascii="Cambria" w:hAnsi="Cambria"/>
                <w:color w:val="000000"/>
              </w:rPr>
              <w:t>LMS</w:t>
            </w:r>
          </w:p>
        </w:tc>
        <w:tc>
          <w:tcPr>
            <w:tcW w:type="dxa" w:w="4320"/>
          </w:tcPr>
          <w:p>
            <w:pPr>
              <w:jc w:val="left"/>
            </w:pPr>
            <w:r/>
            <w:r>
              <w:rPr>
                <w:rFonts w:ascii="Cambria" w:hAnsi="Cambria"/>
                <w:color w:val="000000"/>
              </w:rPr>
              <w:t>Learning Management System</w:t>
            </w:r>
          </w:p>
        </w:tc>
      </w:tr>
      <w:tr>
        <w:tc>
          <w:tcPr>
            <w:tcW w:type="dxa" w:w="4320"/>
          </w:tcPr>
          <w:p>
            <w:pPr>
              <w:jc w:val="left"/>
            </w:pPr>
            <w:r/>
            <w:r>
              <w:rPr>
                <w:rFonts w:ascii="Cambria" w:hAnsi="Cambria"/>
                <w:color w:val="000000"/>
              </w:rPr>
              <w:t>LLM</w:t>
            </w:r>
          </w:p>
        </w:tc>
        <w:tc>
          <w:tcPr>
            <w:tcW w:type="dxa" w:w="4320"/>
          </w:tcPr>
          <w:p>
            <w:pPr>
              <w:jc w:val="left"/>
            </w:pPr>
            <w:r/>
            <w:r>
              <w:rPr>
                <w:rFonts w:ascii="Cambria" w:hAnsi="Cambria"/>
                <w:color w:val="000000"/>
              </w:rPr>
              <w:t>Large Language Model</w:t>
            </w:r>
          </w:p>
        </w:tc>
      </w:tr>
      <w:tr>
        <w:tc>
          <w:tcPr>
            <w:tcW w:type="dxa" w:w="4320"/>
          </w:tcPr>
          <w:p>
            <w:pPr>
              <w:jc w:val="left"/>
            </w:pPr>
            <w:r/>
            <w:r>
              <w:rPr>
                <w:rFonts w:ascii="Cambria" w:hAnsi="Cambria"/>
                <w:color w:val="000000"/>
              </w:rPr>
              <w:t>MIS</w:t>
            </w:r>
          </w:p>
        </w:tc>
        <w:tc>
          <w:tcPr>
            <w:tcW w:type="dxa" w:w="4320"/>
          </w:tcPr>
          <w:p>
            <w:pPr>
              <w:jc w:val="left"/>
            </w:pPr>
            <w:r/>
            <w:r>
              <w:rPr>
                <w:rFonts w:ascii="Cambria" w:hAnsi="Cambria"/>
                <w:color w:val="000000"/>
              </w:rPr>
              <w:t>Management Information System</w:t>
            </w:r>
          </w:p>
        </w:tc>
      </w:tr>
      <w:tr>
        <w:tc>
          <w:tcPr>
            <w:tcW w:type="dxa" w:w="4320"/>
          </w:tcPr>
          <w:p>
            <w:pPr>
              <w:jc w:val="left"/>
            </w:pPr>
            <w:r/>
            <w:r>
              <w:rPr>
                <w:rFonts w:ascii="Cambria" w:hAnsi="Cambria"/>
                <w:color w:val="000000"/>
              </w:rPr>
              <w:t>MOM</w:t>
            </w:r>
          </w:p>
        </w:tc>
        <w:tc>
          <w:tcPr>
            <w:tcW w:type="dxa" w:w="4320"/>
          </w:tcPr>
          <w:p>
            <w:pPr>
              <w:jc w:val="left"/>
            </w:pPr>
            <w:r/>
            <w:r>
              <w:rPr>
                <w:rFonts w:ascii="Cambria" w:hAnsi="Cambria"/>
                <w:color w:val="000000"/>
              </w:rPr>
              <w:t>Minutes of Meeting</w:t>
            </w:r>
          </w:p>
        </w:tc>
      </w:tr>
      <w:tr>
        <w:tc>
          <w:tcPr>
            <w:tcW w:type="dxa" w:w="4320"/>
          </w:tcPr>
          <w:p>
            <w:pPr>
              <w:jc w:val="left"/>
            </w:pPr>
            <w:r/>
            <w:r>
              <w:rPr>
                <w:rFonts w:ascii="Cambria" w:hAnsi="Cambria"/>
                <w:color w:val="000000"/>
              </w:rPr>
              <w:t>MVP</w:t>
            </w:r>
          </w:p>
        </w:tc>
        <w:tc>
          <w:tcPr>
            <w:tcW w:type="dxa" w:w="4320"/>
          </w:tcPr>
          <w:p>
            <w:pPr>
              <w:jc w:val="left"/>
            </w:pPr>
            <w:r/>
            <w:r>
              <w:rPr>
                <w:rFonts w:ascii="Cambria" w:hAnsi="Cambria"/>
                <w:color w:val="000000"/>
              </w:rPr>
              <w:t>Minimum Viable Product</w:t>
            </w:r>
          </w:p>
        </w:tc>
      </w:tr>
      <w:tr>
        <w:tc>
          <w:tcPr>
            <w:tcW w:type="dxa" w:w="4320"/>
          </w:tcPr>
          <w:p>
            <w:pPr>
              <w:jc w:val="left"/>
            </w:pPr>
            <w:r/>
            <w:r>
              <w:rPr>
                <w:rFonts w:ascii="Cambria" w:hAnsi="Cambria"/>
                <w:color w:val="000000"/>
              </w:rPr>
              <w:t>MySQL</w:t>
            </w:r>
          </w:p>
        </w:tc>
        <w:tc>
          <w:tcPr>
            <w:tcW w:type="dxa" w:w="4320"/>
          </w:tcPr>
          <w:p>
            <w:pPr>
              <w:jc w:val="left"/>
            </w:pPr>
            <w:r/>
            <w:r>
              <w:rPr>
                <w:rFonts w:ascii="Cambria" w:hAnsi="Cambria"/>
                <w:color w:val="000000"/>
              </w:rPr>
              <w:t>My Structured Query Language</w:t>
            </w:r>
          </w:p>
        </w:tc>
      </w:tr>
      <w:tr>
        <w:tc>
          <w:tcPr>
            <w:tcW w:type="dxa" w:w="4320"/>
          </w:tcPr>
          <w:p>
            <w:pPr>
              <w:jc w:val="left"/>
            </w:pPr>
            <w:r/>
            <w:r>
              <w:rPr>
                <w:rFonts w:ascii="Cambria" w:hAnsi="Cambria"/>
                <w:color w:val="000000"/>
              </w:rPr>
              <w:t>PDF</w:t>
            </w:r>
          </w:p>
        </w:tc>
        <w:tc>
          <w:tcPr>
            <w:tcW w:type="dxa" w:w="4320"/>
          </w:tcPr>
          <w:p>
            <w:pPr>
              <w:jc w:val="left"/>
            </w:pPr>
            <w:r/>
            <w:r>
              <w:rPr>
                <w:rFonts w:ascii="Cambria" w:hAnsi="Cambria"/>
                <w:color w:val="000000"/>
              </w:rPr>
              <w:t>Portable Document Format</w:t>
            </w:r>
          </w:p>
        </w:tc>
      </w:tr>
      <w:tr>
        <w:tc>
          <w:tcPr>
            <w:tcW w:type="dxa" w:w="4320"/>
          </w:tcPr>
          <w:p>
            <w:pPr>
              <w:jc w:val="left"/>
            </w:pPr>
            <w:r/>
            <w:r>
              <w:rPr>
                <w:rFonts w:ascii="Cambria" w:hAnsi="Cambria"/>
                <w:color w:val="000000"/>
              </w:rPr>
              <w:t>PHP</w:t>
            </w:r>
          </w:p>
        </w:tc>
        <w:tc>
          <w:tcPr>
            <w:tcW w:type="dxa" w:w="4320"/>
          </w:tcPr>
          <w:p>
            <w:pPr>
              <w:jc w:val="left"/>
            </w:pPr>
            <w:r/>
            <w:r>
              <w:rPr>
                <w:rFonts w:ascii="Cambria" w:hAnsi="Cambria"/>
                <w:color w:val="000000"/>
              </w:rPr>
              <w:t>Hypertext Preprocessor</w:t>
            </w:r>
          </w:p>
        </w:tc>
      </w:tr>
      <w:tr>
        <w:tc>
          <w:tcPr>
            <w:tcW w:type="dxa" w:w="4320"/>
          </w:tcPr>
          <w:p>
            <w:pPr>
              <w:jc w:val="left"/>
            </w:pPr>
            <w:r/>
            <w:r>
              <w:rPr>
                <w:rFonts w:ascii="Cambria" w:hAnsi="Cambria"/>
                <w:color w:val="000000"/>
              </w:rPr>
              <w:t>Power BI</w:t>
            </w:r>
          </w:p>
        </w:tc>
        <w:tc>
          <w:tcPr>
            <w:tcW w:type="dxa" w:w="4320"/>
          </w:tcPr>
          <w:p>
            <w:pPr>
              <w:jc w:val="left"/>
            </w:pPr>
            <w:r/>
            <w:r>
              <w:rPr>
                <w:rFonts w:ascii="Cambria" w:hAnsi="Cambria"/>
                <w:color w:val="000000"/>
              </w:rPr>
              <w:t>Power Business Intelligence</w:t>
            </w:r>
          </w:p>
        </w:tc>
      </w:tr>
      <w:tr>
        <w:tc>
          <w:tcPr>
            <w:tcW w:type="dxa" w:w="4320"/>
          </w:tcPr>
          <w:p>
            <w:pPr>
              <w:jc w:val="left"/>
            </w:pPr>
            <w:r/>
            <w:r>
              <w:rPr>
                <w:rFonts w:ascii="Cambria" w:hAnsi="Cambria"/>
                <w:color w:val="000000"/>
              </w:rPr>
              <w:t>RAG</w:t>
            </w:r>
          </w:p>
        </w:tc>
        <w:tc>
          <w:tcPr>
            <w:tcW w:type="dxa" w:w="4320"/>
          </w:tcPr>
          <w:p>
            <w:pPr>
              <w:jc w:val="left"/>
            </w:pPr>
            <w:r/>
            <w:r>
              <w:rPr>
                <w:rFonts w:ascii="Cambria" w:hAnsi="Cambria"/>
                <w:color w:val="000000"/>
              </w:rPr>
              <w:t>Retrieval-Augmented Generation</w:t>
            </w:r>
          </w:p>
        </w:tc>
      </w:tr>
      <w:tr>
        <w:tc>
          <w:tcPr>
            <w:tcW w:type="dxa" w:w="4320"/>
          </w:tcPr>
          <w:p>
            <w:pPr>
              <w:jc w:val="left"/>
            </w:pPr>
            <w:r/>
            <w:r>
              <w:rPr>
                <w:rFonts w:ascii="Cambria" w:hAnsi="Cambria"/>
                <w:color w:val="000000"/>
              </w:rPr>
              <w:t>RAM</w:t>
            </w:r>
          </w:p>
        </w:tc>
        <w:tc>
          <w:tcPr>
            <w:tcW w:type="dxa" w:w="4320"/>
          </w:tcPr>
          <w:p>
            <w:pPr>
              <w:jc w:val="left"/>
            </w:pPr>
            <w:r/>
            <w:r>
              <w:rPr>
                <w:rFonts w:ascii="Cambria" w:hAnsi="Cambria"/>
                <w:color w:val="000000"/>
              </w:rPr>
              <w:t>Random Access Memory</w:t>
            </w:r>
          </w:p>
        </w:tc>
      </w:tr>
      <w:tr>
        <w:tc>
          <w:tcPr>
            <w:tcW w:type="dxa" w:w="4320"/>
          </w:tcPr>
          <w:p>
            <w:pPr>
              <w:jc w:val="left"/>
            </w:pPr>
            <w:r/>
            <w:r>
              <w:rPr>
                <w:rFonts w:ascii="Cambria" w:hAnsi="Cambria"/>
                <w:color w:val="000000"/>
              </w:rPr>
              <w:t>RDP</w:t>
            </w:r>
          </w:p>
        </w:tc>
        <w:tc>
          <w:tcPr>
            <w:tcW w:type="dxa" w:w="4320"/>
          </w:tcPr>
          <w:p>
            <w:pPr>
              <w:jc w:val="left"/>
            </w:pPr>
            <w:r/>
            <w:r>
              <w:rPr>
                <w:rFonts w:ascii="Cambria" w:hAnsi="Cambria"/>
                <w:color w:val="000000"/>
              </w:rPr>
              <w:t>Remote Desktop Protocol</w:t>
            </w:r>
          </w:p>
        </w:tc>
      </w:tr>
      <w:tr>
        <w:tc>
          <w:tcPr>
            <w:tcW w:type="dxa" w:w="4320"/>
          </w:tcPr>
          <w:p>
            <w:pPr>
              <w:jc w:val="left"/>
            </w:pPr>
            <w:r/>
            <w:r>
              <w:rPr>
                <w:rFonts w:ascii="Cambria" w:hAnsi="Cambria"/>
                <w:color w:val="000000"/>
              </w:rPr>
              <w:t>RTS</w:t>
            </w:r>
          </w:p>
        </w:tc>
        <w:tc>
          <w:tcPr>
            <w:tcW w:type="dxa" w:w="4320"/>
          </w:tcPr>
          <w:p>
            <w:pPr>
              <w:jc w:val="left"/>
            </w:pPr>
            <w:r/>
            <w:r>
              <w:rPr>
                <w:rFonts w:ascii="Cambria" w:hAnsi="Cambria"/>
                <w:color w:val="000000"/>
              </w:rPr>
              <w:t>Relational Database Service</w:t>
            </w:r>
          </w:p>
        </w:tc>
      </w:tr>
      <w:tr>
        <w:tc>
          <w:tcPr>
            <w:tcW w:type="dxa" w:w="4320"/>
          </w:tcPr>
          <w:p>
            <w:pPr>
              <w:jc w:val="left"/>
            </w:pPr>
            <w:r/>
            <w:r>
              <w:rPr>
                <w:rFonts w:ascii="Cambria" w:hAnsi="Cambria"/>
                <w:color w:val="000000"/>
              </w:rPr>
              <w:t>SAT</w:t>
            </w:r>
          </w:p>
        </w:tc>
        <w:tc>
          <w:tcPr>
            <w:tcW w:type="dxa" w:w="4320"/>
          </w:tcPr>
          <w:p>
            <w:pPr>
              <w:jc w:val="left"/>
            </w:pPr>
            <w:r/>
            <w:r>
              <w:rPr>
                <w:rFonts w:ascii="Cambria" w:hAnsi="Cambria"/>
                <w:color w:val="000000"/>
              </w:rPr>
              <w:t>Scholastic Assessment Test</w:t>
            </w:r>
          </w:p>
        </w:tc>
      </w:tr>
      <w:tr>
        <w:tc>
          <w:tcPr>
            <w:tcW w:type="dxa" w:w="4320"/>
          </w:tcPr>
          <w:p>
            <w:pPr>
              <w:jc w:val="left"/>
            </w:pPr>
            <w:r/>
            <w:r>
              <w:rPr>
                <w:rFonts w:ascii="Cambria" w:hAnsi="Cambria"/>
                <w:color w:val="000000"/>
              </w:rPr>
              <w:t>SEN</w:t>
            </w:r>
          </w:p>
        </w:tc>
        <w:tc>
          <w:tcPr>
            <w:tcW w:type="dxa" w:w="4320"/>
          </w:tcPr>
          <w:p>
            <w:pPr>
              <w:jc w:val="left"/>
            </w:pPr>
            <w:r/>
            <w:r>
              <w:rPr>
                <w:rFonts w:ascii="Cambria" w:hAnsi="Cambria"/>
                <w:color w:val="000000"/>
              </w:rPr>
              <w:t>Special Educational Needs</w:t>
            </w:r>
          </w:p>
        </w:tc>
      </w:tr>
      <w:tr>
        <w:tc>
          <w:tcPr>
            <w:tcW w:type="dxa" w:w="4320"/>
          </w:tcPr>
          <w:p>
            <w:pPr>
              <w:jc w:val="left"/>
            </w:pPr>
            <w:r/>
            <w:r>
              <w:rPr>
                <w:rFonts w:ascii="Cambria" w:hAnsi="Cambria"/>
                <w:color w:val="000000"/>
              </w:rPr>
              <w:t>SIS</w:t>
            </w:r>
          </w:p>
        </w:tc>
        <w:tc>
          <w:tcPr>
            <w:tcW w:type="dxa" w:w="4320"/>
          </w:tcPr>
          <w:p>
            <w:pPr>
              <w:jc w:val="left"/>
            </w:pPr>
            <w:r/>
            <w:r>
              <w:rPr>
                <w:rFonts w:ascii="Cambria" w:hAnsi="Cambria"/>
                <w:color w:val="000000"/>
              </w:rPr>
              <w:t>Student Information System</w:t>
            </w:r>
          </w:p>
        </w:tc>
      </w:tr>
      <w:tr>
        <w:tc>
          <w:tcPr>
            <w:tcW w:type="dxa" w:w="4320"/>
          </w:tcPr>
          <w:p>
            <w:pPr>
              <w:jc w:val="left"/>
            </w:pPr>
            <w:r/>
            <w:r>
              <w:rPr>
                <w:rFonts w:ascii="Cambria" w:hAnsi="Cambria"/>
                <w:color w:val="000000"/>
              </w:rPr>
              <w:t>SQL</w:t>
            </w:r>
          </w:p>
        </w:tc>
        <w:tc>
          <w:tcPr>
            <w:tcW w:type="dxa" w:w="4320"/>
          </w:tcPr>
          <w:p>
            <w:pPr>
              <w:jc w:val="left"/>
            </w:pPr>
            <w:r/>
            <w:r>
              <w:rPr>
                <w:rFonts w:ascii="Cambria" w:hAnsi="Cambria"/>
                <w:color w:val="000000"/>
              </w:rPr>
              <w:t>Structured Query Language</w:t>
            </w:r>
          </w:p>
        </w:tc>
      </w:tr>
      <w:tr>
        <w:tc>
          <w:tcPr>
            <w:tcW w:type="dxa" w:w="4320"/>
          </w:tcPr>
          <w:p>
            <w:pPr>
              <w:jc w:val="left"/>
            </w:pPr>
            <w:r/>
            <w:r>
              <w:rPr>
                <w:rFonts w:ascii="Cambria" w:hAnsi="Cambria"/>
                <w:color w:val="000000"/>
              </w:rPr>
              <w:t>SRS</w:t>
            </w:r>
          </w:p>
        </w:tc>
        <w:tc>
          <w:tcPr>
            <w:tcW w:type="dxa" w:w="4320"/>
          </w:tcPr>
          <w:p>
            <w:pPr>
              <w:jc w:val="left"/>
            </w:pPr>
            <w:r/>
            <w:r>
              <w:rPr>
                <w:rFonts w:ascii="Cambria" w:hAnsi="Cambria"/>
                <w:color w:val="000000"/>
              </w:rPr>
              <w:t>Software Requirements Specification</w:t>
            </w:r>
          </w:p>
        </w:tc>
      </w:tr>
      <w:tr>
        <w:tc>
          <w:tcPr>
            <w:tcW w:type="dxa" w:w="4320"/>
          </w:tcPr>
          <w:p>
            <w:pPr>
              <w:jc w:val="left"/>
            </w:pPr>
            <w:r/>
            <w:r>
              <w:rPr>
                <w:rFonts w:ascii="Cambria" w:hAnsi="Cambria"/>
                <w:color w:val="000000"/>
              </w:rPr>
              <w:t>STEM</w:t>
            </w:r>
          </w:p>
        </w:tc>
        <w:tc>
          <w:tcPr>
            <w:tcW w:type="dxa" w:w="4320"/>
          </w:tcPr>
          <w:p>
            <w:pPr>
              <w:jc w:val="left"/>
            </w:pPr>
            <w:r/>
            <w:r>
              <w:rPr>
                <w:rFonts w:ascii="Cambria" w:hAnsi="Cambria"/>
                <w:color w:val="000000"/>
              </w:rPr>
              <w:t>Science, Technology, Engineering, and Mathematics</w:t>
            </w:r>
          </w:p>
        </w:tc>
      </w:tr>
      <w:tr>
        <w:tc>
          <w:tcPr>
            <w:tcW w:type="dxa" w:w="4320"/>
          </w:tcPr>
          <w:p>
            <w:pPr>
              <w:jc w:val="left"/>
            </w:pPr>
            <w:r/>
            <w:r>
              <w:rPr>
                <w:rFonts w:ascii="Cambria" w:hAnsi="Cambria"/>
                <w:color w:val="000000"/>
              </w:rPr>
              <w:t>UI</w:t>
            </w:r>
          </w:p>
        </w:tc>
        <w:tc>
          <w:tcPr>
            <w:tcW w:type="dxa" w:w="4320"/>
          </w:tcPr>
          <w:p>
            <w:pPr>
              <w:jc w:val="left"/>
            </w:pPr>
            <w:r/>
            <w:r>
              <w:rPr>
                <w:rFonts w:ascii="Cambria" w:hAnsi="Cambria"/>
                <w:color w:val="000000"/>
              </w:rPr>
              <w:t>User Interface</w:t>
            </w:r>
          </w:p>
        </w:tc>
      </w:tr>
      <w:tr>
        <w:tc>
          <w:tcPr>
            <w:tcW w:type="dxa" w:w="4320"/>
          </w:tcPr>
          <w:p>
            <w:pPr>
              <w:jc w:val="left"/>
            </w:pPr>
            <w:r/>
            <w:r>
              <w:rPr>
                <w:rFonts w:ascii="Cambria" w:hAnsi="Cambria"/>
                <w:color w:val="000000"/>
              </w:rPr>
              <w:t>UX</w:t>
            </w:r>
          </w:p>
        </w:tc>
        <w:tc>
          <w:tcPr>
            <w:tcW w:type="dxa" w:w="4320"/>
          </w:tcPr>
          <w:p>
            <w:pPr>
              <w:jc w:val="left"/>
            </w:pPr>
            <w:r/>
            <w:r>
              <w:rPr>
                <w:rFonts w:ascii="Cambria" w:hAnsi="Cambria"/>
                <w:color w:val="000000"/>
              </w:rPr>
              <w:t>User Experience</w:t>
            </w:r>
          </w:p>
        </w:tc>
      </w:tr>
      <w:tr>
        <w:tc>
          <w:tcPr>
            <w:tcW w:type="dxa" w:w="4320"/>
          </w:tcPr>
          <w:p>
            <w:pPr>
              <w:jc w:val="left"/>
            </w:pPr>
            <w:r/>
            <w:r>
              <w:rPr>
                <w:rFonts w:ascii="Cambria" w:hAnsi="Cambria"/>
                <w:color w:val="000000"/>
              </w:rPr>
              <w:t>UAE</w:t>
            </w:r>
          </w:p>
        </w:tc>
        <w:tc>
          <w:tcPr>
            <w:tcW w:type="dxa" w:w="4320"/>
          </w:tcPr>
          <w:p>
            <w:pPr>
              <w:jc w:val="left"/>
            </w:pPr>
            <w:r/>
            <w:r>
              <w:rPr>
                <w:rFonts w:ascii="Cambria" w:hAnsi="Cambria"/>
                <w:color w:val="000000"/>
              </w:rPr>
              <w:t>United Arab Emirates</w:t>
            </w:r>
          </w:p>
        </w:tc>
      </w:tr>
      <w:tr>
        <w:tc>
          <w:tcPr>
            <w:tcW w:type="dxa" w:w="4320"/>
          </w:tcPr>
          <w:p>
            <w:pPr>
              <w:jc w:val="left"/>
            </w:pPr>
            <w:r/>
            <w:r>
              <w:rPr>
                <w:rFonts w:ascii="Cambria" w:hAnsi="Cambria"/>
                <w:color w:val="000000"/>
              </w:rPr>
              <w:t>UML</w:t>
            </w:r>
          </w:p>
        </w:tc>
        <w:tc>
          <w:tcPr>
            <w:tcW w:type="dxa" w:w="4320"/>
          </w:tcPr>
          <w:p>
            <w:pPr>
              <w:jc w:val="left"/>
            </w:pPr>
            <w:r/>
            <w:r>
              <w:rPr>
                <w:rFonts w:ascii="Cambria" w:hAnsi="Cambria"/>
                <w:color w:val="000000"/>
              </w:rPr>
              <w:t>Unified Modeling Language</w:t>
            </w:r>
          </w:p>
        </w:tc>
      </w:tr>
      <w:tr>
        <w:tc>
          <w:tcPr>
            <w:tcW w:type="dxa" w:w="4320"/>
          </w:tcPr>
          <w:p>
            <w:pPr>
              <w:jc w:val="left"/>
            </w:pPr>
            <w:r/>
            <w:r>
              <w:rPr>
                <w:rFonts w:ascii="Cambria" w:hAnsi="Cambria"/>
                <w:color w:val="000000"/>
              </w:rPr>
              <w:t>VPN</w:t>
            </w:r>
          </w:p>
        </w:tc>
        <w:tc>
          <w:tcPr>
            <w:tcW w:type="dxa" w:w="4320"/>
          </w:tcPr>
          <w:p>
            <w:pPr>
              <w:jc w:val="left"/>
            </w:pPr>
            <w:r/>
            <w:r>
              <w:rPr>
                <w:rFonts w:ascii="Cambria" w:hAnsi="Cambria"/>
                <w:color w:val="000000"/>
              </w:rPr>
              <w:t>Virtual Private Network</w:t>
            </w:r>
          </w:p>
        </w:tc>
      </w:tr>
    </w:tbl>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