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The purpose of this document is to define the comprehensive requirements for the Canary system. The Canary system shall provide an AI-powered call analytics platform for restaurants, delivering actionable insights derived from call data. It shall enable robust call management, offer user-centric analytics to restaurant personnel, and support the effective tracking of marketing campaign performance. The system shall prioritize a simple, engaging user experience for non-technical staff and be designed for scalability to accommodate various client needs.</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primary purpose of this project is to develop an AI-powered call analytics platform for restaurants. The system shall provide actionable insights derived from call data to enhance operational efficiency and marketing effectiveness. The platform shall initially support English language, employing a hybrid approach for accurate keyword and topic detection. It shall deliver near real-time analytics updates via a simple, engaging user interface designed for non-technical restaurant staff. The initial deployment shall target ten restaurants in Dubai.</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Error generating content for 'Project Objectives':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472443"/>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472443"/>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073138"/>
            <wp:docPr id="3" name="Picture 3"/>
            <wp:cNvGraphicFramePr>
              <a:graphicFrameLocks noChangeAspect="1"/>
            </wp:cNvGraphicFramePr>
            <a:graphic>
              <a:graphicData uri="http://schemas.openxmlformats.org/drawingml/2006/picture">
                <pic:pic>
                  <pic:nvPicPr>
                    <pic:cNvPr id="0" name="User_Interface_diagram.png"/>
                    <pic:cNvPicPr/>
                  </pic:nvPicPr>
                  <pic:blipFill>
                    <a:blip r:embed="rId15"/>
                    <a:stretch>
                      <a:fillRect/>
                    </a:stretch>
                  </pic:blipFill>
                  <pic:spPr>
                    <a:xfrm>
                      <a:off x="0" y="0"/>
                      <a:ext cx="5486400" cy="3073138"/>
                    </a:xfrm>
                    <a:prstGeom prst="rect"/>
                  </pic:spPr>
                </pic:pic>
              </a:graphicData>
            </a:graphic>
          </wp:inline>
        </w:drawing>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The system shall continuously evolve its analytical capabilities to derive comprehensive industry trends across various restaurant types and geographical locations. Future iterations shall expand multilingual support beyond English, notably incorporating Arabic dialects. Enhanced user access controls shall be implemented to accommodate complex organizational structures and enterprise-level clients. The platform shall integrate with third-party systems such as point-of-sale and booking platforms, enriching data insights for all users. Furthermore, the system shall explore advanced data presentation methods, including audio-visual summaries of insights, to enhance user engagement.</w:t>
      </w:r>
    </w:p>
    <w:p/>
    <w:p>
      <w:pPr>
        <w:pStyle w:val="SRSHeading1"/>
      </w:pPr>
      <w:r>
        <w:t>12 Open Queries</w:t>
      </w:r>
    </w:p>
    <w:p>
      <w:pPr>
        <w:pStyle w:val="SRSHeading2"/>
        <w:spacing w:after="240"/>
      </w:pPr>
      <w:r>
        <w:rPr>
          <w:rFonts w:ascii="Cambria" w:hAnsi="Cambria"/>
          <w:color w:val="4682B4"/>
        </w:rPr>
        <w:t>12.1 Open Queries</w:t>
      </w:r>
    </w:p>
    <w:p>
      <w:pPr>
        <w:pStyle w:val="SRSNormal"/>
      </w:pPr>
      <w:r>
        <w:t xml:space="preserve">• </w:t>
      </w:r>
      <w:r>
        <w:rPr>
          <w:rFonts w:ascii="Cambria" w:hAnsi="Cambria"/>
          <w:color w:val="000000"/>
        </w:rPr>
        <w:t xml:space="preserve">  Clarify the preferred initial approach for keyword/topic detection, considering time-to-market versus data accuracy and dynamic adaptability for the AI model.</w:t>
      </w:r>
    </w:p>
    <w:p>
      <w:pPr>
        <w:pStyle w:val="SRSNormal"/>
      </w:pPr>
      <w:r>
        <w:t xml:space="preserve">• </w:t>
      </w:r>
      <w:r>
        <w:rPr>
          <w:rFonts w:ascii="Cambria" w:hAnsi="Cambria"/>
          <w:color w:val="000000"/>
        </w:rPr>
        <w:t xml:space="preserve">  Determine estimated average call durations to inform the sizing and structure of call minute packages.</w:t>
      </w:r>
    </w:p>
    <w:p>
      <w:pPr>
        <w:pStyle w:val="SRSNormal"/>
      </w:pPr>
      <w:r>
        <w:t xml:space="preserve">• </w:t>
      </w:r>
      <w:r>
        <w:rPr>
          <w:rFonts w:ascii="Cambria" w:hAnsi="Cambria"/>
          <w:color w:val="000000"/>
        </w:rPr>
        <w:t xml:space="preserve">  Define the specific data retention periods for customer data, including policies for cancelled accounts, and identify all relevant call compliance regulations (e.g., UAE data privacy, GDPR).</w:t>
      </w:r>
    </w:p>
    <w:p>
      <w:pPr>
        <w:pStyle w:val="SRSNormal"/>
      </w:pPr>
      <w:r>
        <w:t xml:space="preserve">• </w:t>
      </w:r>
      <w:r>
        <w:rPr>
          <w:rFonts w:ascii="Cambria" w:hAnsi="Cambria"/>
          <w:color w:val="000000"/>
        </w:rPr>
        <w:t xml:space="preserve">  Identify and prioritize additional external data sources (e.g., local events, weather patterns) that can be integrated to enrich analytics insights for vendors.</w:t>
      </w:r>
    </w:p>
    <w:p>
      <w:pPr>
        <w:pStyle w:val="SRSNormal"/>
      </w:pPr>
      <w:r>
        <w:t xml:space="preserve">• </w:t>
      </w:r>
      <w:r>
        <w:rPr>
          <w:rFonts w:ascii="Cambria" w:hAnsi="Cambria"/>
          <w:color w:val="000000"/>
        </w:rPr>
        <w:t xml:space="preserve">  Refine the methodology for calculating "lost value" from missed calls, specifically addressing how to assign monetary value given current data limitations regarding customer intent.</w:t>
      </w:r>
    </w:p>
    <w:p>
      <w:pPr>
        <w:pStyle w:val="SRSNormal"/>
      </w:pPr>
      <w:r>
        <w:t xml:space="preserve">• </w:t>
      </w:r>
      <w:r>
        <w:rPr>
          <w:rFonts w:ascii="Cambria" w:hAnsi="Cambria"/>
          <w:color w:val="000000"/>
        </w:rPr>
        <w:t xml:space="preserve">  Prioritize the development and integration of detailed "single customer view" features (e.g., VIP customer tracking, spending history) that would require integration with future booking or POS systems.</w:t>
      </w:r>
    </w:p>
    <w:p>
      <w:pPr>
        <w:pStyle w:val="SRSNormal"/>
      </w:pPr>
      <w:r>
        <w:t xml:space="preserve">• </w:t>
      </w:r>
      <w:r>
        <w:rPr>
          <w:rFonts w:ascii="Cambria" w:hAnsi="Cambria"/>
          <w:color w:val="000000"/>
        </w:rPr>
        <w:t xml:space="preserve">  Clarify the desired balance between word-based, actionable insights and various visual representations (charts, widgets) on the analytics dashboard to cater to diverse user preferences and technical proficiencies.</w:t>
      </w:r>
    </w:p>
    <w:p>
      <w:pPr>
        <w:pStyle w:val="SRSNormal"/>
      </w:pPr>
      <w:r>
        <w:t xml:space="preserve">• </w:t>
      </w:r>
      <w:r>
        <w:rPr>
          <w:rFonts w:ascii="Cambria" w:hAnsi="Cambria"/>
          <w:color w:val="000000"/>
        </w:rPr>
        <w:t xml:space="preserve">  Identify specific accessibility standards and compliance requirements for the user interface, beyond fundamental SEO practices.</w:t>
      </w:r>
    </w:p>
    <w:p>
      <w:pPr>
        <w:pStyle w:val="SRSNormal"/>
      </w:pPr>
      <w:r>
        <w:t xml:space="preserve">• </w:t>
      </w:r>
      <w:r>
        <w:rPr>
          <w:rFonts w:ascii="Cambria" w:hAnsi="Cambria"/>
          <w:color w:val="000000"/>
        </w:rPr>
        <w:t xml:space="preserve">  Finalize the logo design to successfully combine a modern, geometric aesthetic with a clearly discernible, dynamic bird resemblance.</w:t>
      </w:r>
    </w:p>
    <w:p>
      <w:pPr>
        <w:pStyle w:val="SRSNormal"/>
      </w:pPr>
      <w:r>
        <w:t xml:space="preserve">• </w:t>
      </w:r>
      <w:r>
        <w:rPr>
          <w:rFonts w:ascii="Cambria" w:hAnsi="Cambria"/>
          <w:color w:val="000000"/>
        </w:rPr>
        <w:t xml:space="preserve">  Select the precise hex code for the accent color that will provide the desired "pop effect" against the predominantly black and white website design.</w:t>
      </w:r>
    </w:p>
    <w:p>
      <w:pPr>
        <w:pStyle w:val="SRSNormal"/>
      </w:pPr>
      <w:r>
        <w:t xml:space="preserve">• </w:t>
      </w:r>
      <w:r>
        <w:rPr>
          <w:rFonts w:ascii="Cambria" w:hAnsi="Cambria"/>
          <w:color w:val="000000"/>
        </w:rPr>
        <w:t xml:space="preserve">  Determine the exact call-to-action (CTA) text for the landing page button (e.g., "Book a Demo," "Talk to Sales," "Talk to a Human").</w:t>
      </w:r>
    </w:p>
    <w:p>
      <w:pPr>
        <w:pStyle w:val="SRSNormal"/>
      </w:pPr>
      <w:r>
        <w:t xml:space="preserve">• </w:t>
      </w:r>
      <w:r>
        <w:rPr>
          <w:rFonts w:ascii="Cambria" w:hAnsi="Cambria"/>
          <w:color w:val="000000"/>
        </w:rPr>
        <w:t xml:space="preserve">  Reconfirm whether a "starting from" pricing indicator should be included on the landing page for the initial rollout.</w:t>
      </w:r>
    </w:p>
    <w:p>
      <w:pPr>
        <w:pStyle w:val="SRSNormal"/>
      </w:pPr>
      <w:r>
        <w:t xml:space="preserve">• </w:t>
      </w:r>
      <w:r>
        <w:rPr>
          <w:rFonts w:ascii="Cambria" w:hAnsi="Cambria"/>
          <w:color w:val="000000"/>
        </w:rPr>
        <w:t xml:space="preserve">  Secure a primary call provider that supports UAE phone numbers (including 800 numbers, if feasible) and offers essential features such as white-labeling, integrated billing capabilities, comprehensive API access, and global number provisioning.</w:t>
      </w:r>
    </w:p>
    <w:p>
      <w:pPr>
        <w:pStyle w:val="SRSNormal"/>
      </w:pPr>
      <w:r>
        <w:t xml:space="preserve">• </w:t>
      </w:r>
      <w:r>
        <w:rPr>
          <w:rFonts w:ascii="Cambria" w:hAnsi="Cambria"/>
          <w:color w:val="000000"/>
        </w:rPr>
        <w:t xml:space="preserve">  Confirm whether "magic link" login functionality should be implemented as an alternative to traditional password-based login for enhanced user convenience.</w:t>
      </w:r>
    </w:p>
    <w:p>
      <w:pPr>
        <w:pStyle w:val="SRSNormal"/>
      </w:pPr>
      <w:r>
        <w:t xml:space="preserve">• </w:t>
      </w:r>
      <w:r>
        <w:rPr>
          <w:rFonts w:ascii="Cambria" w:hAnsi="Cambria"/>
          <w:color w:val="000000"/>
        </w:rPr>
        <w:t xml:space="preserve">  Formalize the legal agreement strategy, specifically confirming the use of a standard End-User License Agreement (EULA) or Terms &amp; Conditions with an acceptance checkbox for all clients, and define any conditions under which formal, signed contracts would be required for enterprise clients.</w:t>
      </w:r>
    </w:p>
    <w:p>
      <w:pPr>
        <w:pStyle w:val="SRSNormal"/>
      </w:pPr>
      <w:r>
        <w:t xml:space="preserve">• </w:t>
      </w:r>
      <w:r>
        <w:rPr>
          <w:rFonts w:ascii="Cambria" w:hAnsi="Cambria"/>
          <w:color w:val="000000"/>
        </w:rPr>
        <w:t xml:space="preserve">  Prioritize the development of audio or video summaries of insights for future phases, taking into account the associated cost implications and the perceived value to end-users.</w:t>
      </w:r>
    </w:p>
    <w:p>
      <w:pPr>
        <w:pStyle w:val="SRSNormal"/>
      </w:pPr>
      <w:r>
        <w:t xml:space="preserve">• </w:t>
      </w:r>
      <w:r>
        <w:rPr>
          <w:rFonts w:ascii="Cambria" w:hAnsi="Cambria"/>
          <w:color w:val="000000"/>
        </w:rPr>
        <w:t xml:space="preserve">  Identify and prioritize additional data points for collection from vendors (e.g., specific restaurant cuisine types, average price points, social media follower counts) to enable more advanced industry trend analysis within the Canary admin portal.</w:t>
      </w:r>
    </w:p>
    <w:p>
      <w:pPr>
        <w:pStyle w:val="SRSNormal"/>
      </w:pPr>
      <w:r>
        <w:t xml:space="preserve">• </w:t>
      </w:r>
      <w:r>
        <w:rPr>
          <w:rFonts w:ascii="Cambria" w:hAnsi="Cambria"/>
          <w:color w:val="000000"/>
        </w:rPr>
        <w:t xml:space="preserve">  Determine the necessity and prioritization of advanced security features for the admin portal, such as multi-factor authentication and detailed audit trails, as the platform scales and more users are onboarded.</w:t>
      </w:r>
    </w:p>
    <w:p>
      <w:pPr>
        <w:pStyle w:val="SRSNormal"/>
      </w:pPr>
      <w:r>
        <w:t xml:space="preserve">• </w:t>
      </w:r>
      <w:r>
        <w:rPr>
          <w:rFonts w:ascii="Cambria" w:hAnsi="Cambria"/>
          <w:color w:val="000000"/>
        </w:rPr>
        <w:t xml:space="preserve">  Confirm the desired frequency of analytics updates on the client dashboard (e.g., near real-time post-call versus periodic batches), considering the balance between data freshness, API costs, and the actionable value derived by the user.</w:t>
      </w:r>
    </w:p>
    <w:p>
      <w:pPr>
        <w:pStyle w:val="SRSNormal"/>
      </w:pPr>
      <w:r>
        <w:t xml:space="preserve">• </w:t>
      </w:r>
      <w:r>
        <w:rPr>
          <w:rFonts w:ascii="Cambria" w:hAnsi="Cambria"/>
          <w:color w:val="000000"/>
        </w:rPr>
        <w:t xml:space="preserve">  Finalize the specific pricing structure and package tiers, which are contingent on the confirmed costs from the chosen call provider (e.g., user-based, minute-based, number-based, or a combination thereof).</w:t>
      </w:r>
    </w:p>
    <w:p>
      <w:pPr>
        <w:pStyle w:val="SRSNormal"/>
      </w:pPr>
      <w:r>
        <w:t xml:space="preserve">• </w:t>
      </w:r>
      <w:r>
        <w:rPr>
          <w:rFonts w:ascii="Cambria" w:hAnsi="Cambria"/>
          <w:color w:val="000000"/>
        </w:rPr>
        <w:t xml:space="preserve">  Confirm specific filter criteria for the admin dashboard to enable detailed analysis of restaurant groups based on factors such as cuisine type, venue type (e.g., beach club, cafe, fine dining), and geographical area.</w:t>
      </w:r>
    </w:p>
    <w:p>
      <w:pPr>
        <w:pStyle w:val="SRSNormal"/>
      </w:pPr>
      <w:r>
        <w:t xml:space="preserve">• </w:t>
      </w:r>
      <w:r>
        <w:rPr>
          <w:rFonts w:ascii="Cambria" w:hAnsi="Cambria"/>
          <w:color w:val="000000"/>
        </w:rPr>
        <w:t xml:space="preserve">  Outline the enhancements needed for the campaign management UI/UX, including consideration for list views, sorting options, a "watchlist" or favorites feature, and dynamic ordering based on campaign activity or performance.</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