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Software Requirements Specification (SRS) details the functional and non-functional requirements for the AI-driven educational platform. The document shall serve as a foundational blueprint for the development team, outlining the system's intended behavior, performance, and design constraints. It defines the scope for the initial phase, primarily focusing on the AI-driven school inspection readiness module and the curriculum enhancement and personalized lesson planning capabilities. The SRS shall provide a comprehensive technical framework to guide implementation and ensure alignment with the client's vision for offline AI tools in schools. This specification shall facilitate clear communication among all stakeholders regarding the system's capabilities and architectural considerations.</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The primary purpose of this project is to produce an offline, AI-driven educational platform designed to address critical operational inefficiencies within top-tier international schools. This system shall serve as an internal advisory tool, providing modular functionalities for key areas such as inspection readiness, curriculum enhancement, and personalized teaching. It shall consolidate disparate data sources into a unified repository, delivering actionable insights and streamlining workflows for school leadership, administration, and teaching staff. The overarching aim is to improve school performance and decision-making through intelligent, data-driven support.</w:t>
      </w:r>
    </w:p>
    <w:p>
      <w:pPr>
        <w:pStyle w:val="SRSNormal"/>
      </w:pPr>
    </w:p>
    <w:p>
      <w:pPr>
        <w:pStyle w:val="SRSNormal"/>
        <w:jc w:val="both"/>
      </w:pPr>
      <w:r>
        <w:rPr>
          <w:rFonts w:ascii="Cambria" w:hAnsi="Cambria"/>
          <w:color w:val="000000"/>
        </w:rPr>
        <w:t>The system shall prioritize an offline deployment model to ensure stringent data privacy and control, with a clear roadmap for potential cloud-based solutions. Development shall focus on delivering a Minimum Viable Product (MVP) with core features swiftly, leveraging a modular architecture to facilitate future enhancements and scalability across additional use cases. The blueprint shall define functional and non-functional requirements, ensuring a robust, maintainable, and cost-effective solution for long-term adoption and value delivery in the education sector.</w:t>
      </w:r>
    </w:p>
    <w:p>
      <w:pPr>
        <w:pStyle w:val="SRSHeading2"/>
        <w:spacing w:after="240"/>
      </w:pPr>
      <w:r>
        <w:rPr>
          <w:rFonts w:ascii="Cambria" w:hAnsi="Cambria"/>
          <w:color w:val="4682B4"/>
        </w:rPr>
        <w:t>1.3 Project Objectives</w:t>
      </w:r>
    </w:p>
    <w:p>
      <w:pPr>
        <w:pStyle w:val="SRSNormal"/>
      </w:pPr>
      <w:r>
        <w:t xml:space="preserve">• </w:t>
      </w:r>
      <w:r>
        <w:rPr>
          <w:rFonts w:ascii="Cambria" w:hAnsi="Cambria"/>
          <w:color w:val="000000"/>
        </w:rPr>
        <w:t xml:space="preserve">  The system shall provide AI-driven tools designed for operation within an offline school environment.</w:t>
      </w:r>
    </w:p>
    <w:p>
      <w:pPr>
        <w:pStyle w:val="SRSNormal"/>
      </w:pPr>
      <w:r>
        <w:t xml:space="preserve">• </w:t>
      </w:r>
      <w:r>
        <w:rPr>
          <w:rFonts w:ascii="Cambria" w:hAnsi="Cambria"/>
          <w:color w:val="000000"/>
        </w:rPr>
        <w:t xml:space="preserve">  The system shall ensure the privacy and security of all school-specific data.</w:t>
      </w:r>
    </w:p>
    <w:p>
      <w:pPr>
        <w:pStyle w:val="SRSNormal"/>
      </w:pPr>
      <w:r>
        <w:t xml:space="preserve">• </w:t>
      </w:r>
      <w:r>
        <w:rPr>
          <w:rFonts w:ascii="Cambria" w:hAnsi="Cambria"/>
          <w:color w:val="000000"/>
        </w:rPr>
        <w:t xml:space="preserve">  The system shall consolidate disparate data sources and workflows to enhance operational efficiency within schools.</w:t>
      </w:r>
    </w:p>
    <w:p>
      <w:pPr>
        <w:pStyle w:val="SRSNormal"/>
      </w:pPr>
      <w:r>
        <w:t xml:space="preserve">• </w:t>
      </w:r>
      <w:r>
        <w:rPr>
          <w:rFonts w:ascii="Cambria" w:hAnsi="Cambria"/>
          <w:color w:val="000000"/>
        </w:rPr>
        <w:t xml:space="preserve">  The system shall feature a modular architecture to support the flexible deployment of individual functionalities.</w:t>
      </w:r>
    </w:p>
    <w:p>
      <w:pPr>
        <w:pStyle w:val="SRSNormal"/>
      </w:pPr>
      <w:r>
        <w:t xml:space="preserve">• </w:t>
      </w:r>
      <w:r>
        <w:rPr>
          <w:rFonts w:ascii="Cambria" w:hAnsi="Cambria"/>
          <w:color w:val="000000"/>
        </w:rPr>
        <w:t xml:space="preserve">  The system shall prioritize core functionalities for inspection readiness and teaching/learning resource management for rapid market entry.</w:t>
      </w:r>
    </w:p>
    <w:p>
      <w:pPr>
        <w:pStyle w:val="SRSNormal"/>
      </w:pPr>
      <w:r>
        <w:t xml:space="preserve">• </w:t>
      </w:r>
      <w:r>
        <w:rPr>
          <w:rFonts w:ascii="Cambria" w:hAnsi="Cambria"/>
          <w:color w:val="000000"/>
        </w:rPr>
        <w:t xml:space="preserve">  The system shall be scalable through tiered hardware configurations to accommodate varying levels of user concurrency.</w:t>
      </w:r>
    </w:p>
    <w:p>
      <w:pPr>
        <w:pStyle w:val="SRSNormal"/>
      </w:pPr>
      <w:r>
        <w:t xml:space="preserve">• </w:t>
      </w:r>
      <w:r>
        <w:rPr>
          <w:rFonts w:ascii="Cambria" w:hAnsi="Cambria"/>
          <w:color w:val="000000"/>
        </w:rPr>
        <w:t xml:space="preserve">  The system shall serve as an internal advisory tool, generating data-driven recommendations for school improvement.</w:t>
      </w:r>
    </w:p>
    <w:p>
      <w:pPr>
        <w:pStyle w:val="SRSNormal"/>
      </w:pPr>
      <w:r>
        <w:t xml:space="preserve">• </w:t>
      </w:r>
      <w:r>
        <w:rPr>
          <w:rFonts w:ascii="Cambria" w:hAnsi="Cambria"/>
          <w:color w:val="000000"/>
        </w:rPr>
        <w:t xml:space="preserve">  The system shall maintain a standardized core product to facilitate consistent updates and streamlined management.</w:t>
      </w:r>
    </w:p>
    <w:p>
      <w:pPr>
        <w:pStyle w:val="SRSNormal"/>
      </w:pPr>
      <w:r>
        <w:t xml:space="preserve">• </w:t>
      </w:r>
      <w:r>
        <w:rPr>
          <w:rFonts w:ascii="Cambria" w:hAnsi="Cambria"/>
          <w:color w:val="000000"/>
        </w:rPr>
        <w:t xml:space="preserve">  The system shall support future expansion into additional educational and operational verticals.</w:t>
      </w:r>
    </w:p>
    <w:p>
      <w:pPr>
        <w:pStyle w:val="SRSHeading2"/>
        <w:spacing w:after="240"/>
      </w:pPr>
      <w:r>
        <w:rPr>
          <w:rFonts w:ascii="Cambria" w:hAnsi="Cambria"/>
          <w:color w:val="4682B4"/>
        </w:rPr>
        <w:t>1.4 Project Stakeholders</w:t>
      </w:r>
    </w:p>
    <w:p>
      <w:pPr>
        <w:pStyle w:val="SRSNormal"/>
        <w:jc w:val="both"/>
      </w:pPr>
      <w:r>
        <w:rPr>
          <w:rFonts w:ascii="Cambria" w:hAnsi="Cambria"/>
          <w:color w:val="000000"/>
        </w:rPr>
        <w:t>Error generating content for 'Project Stakeholders':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1.5 Assumptions</w:t>
      </w:r>
    </w:p>
    <w:p>
      <w:pPr>
        <w:pStyle w:val="SRSNormal"/>
        <w:jc w:val="both"/>
      </w:pPr>
      <w:r>
        <w:rPr>
          <w:rFonts w:ascii="Cambria" w:hAnsi="Cambria"/>
          <w:color w:val="000000"/>
        </w:rPr>
        <w:t>Error generating content for 'Assumptions':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1.6 Acronyms and Abbreviations</w:t>
      </w:r>
    </w:p>
    <w:p>
      <w:pPr>
        <w:pStyle w:val="SRSNormal"/>
        <w:jc w:val="both"/>
      </w:pPr>
      <w:r>
        <w:rPr>
          <w:rFonts w:ascii="Cambria" w:hAnsi="Cambria"/>
          <w:color w:val="000000"/>
        </w:rPr>
        <w:t>Error generating content for 'Acronyms and Abbreviations':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2 Non-Functional Requirements</w:t>
      </w:r>
    </w:p>
    <w:p>
      <w:pPr>
        <w:pStyle w:val="SRSHeading2"/>
        <w:spacing w:after="240"/>
      </w:pPr>
      <w:r>
        <w:rPr>
          <w:rFonts w:ascii="Cambria" w:hAnsi="Cambria"/>
          <w:color w:val="4682B4"/>
        </w:rPr>
        <w:t>2.1 Non-Functional Requirements</w:t>
      </w:r>
    </w:p>
    <w:p>
      <w:pPr>
        <w:pStyle w:val="SRSNormal"/>
        <w:jc w:val="both"/>
      </w:pPr>
      <w:r>
        <w:rPr>
          <w:rFonts w:ascii="Cambria" w:hAnsi="Cambria"/>
          <w:color w:val="000000"/>
        </w:rPr>
        <w:t>Error generating content for 'Non-Functional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3 User Personas</w:t>
      </w:r>
    </w:p>
    <w:p>
      <w:pPr>
        <w:pStyle w:val="SRSHeading2"/>
        <w:spacing w:after="240"/>
      </w:pPr>
      <w:r>
        <w:rPr>
          <w:rFonts w:ascii="Cambria" w:hAnsi="Cambria"/>
          <w:color w:val="4682B4"/>
        </w:rPr>
        <w:t>3.1 User Personas</w:t>
      </w:r>
    </w:p>
    <w:p>
      <w:pPr>
        <w:pStyle w:val="SRSNormal"/>
        <w:jc w:val="both"/>
      </w:pPr>
      <w:r>
        <w:rPr>
          <w:rFonts w:ascii="Cambria" w:hAnsi="Cambria"/>
          <w:color w:val="000000"/>
        </w:rPr>
        <w:t>Error generating content for 'User Personas':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4 Scope</w:t>
      </w:r>
    </w:p>
    <w:p>
      <w:pPr>
        <w:pStyle w:val="SRSHeading2"/>
        <w:spacing w:after="240"/>
      </w:pPr>
      <w:r>
        <w:rPr>
          <w:rFonts w:ascii="Cambria" w:hAnsi="Cambria"/>
          <w:color w:val="4682B4"/>
        </w:rPr>
        <w:t>4.1 Scope</w:t>
      </w:r>
    </w:p>
    <w:p>
      <w:pPr>
        <w:pStyle w:val="SRSNormal"/>
        <w:jc w:val="both"/>
      </w:pPr>
      <w:r>
        <w:rPr>
          <w:rFonts w:ascii="Cambria" w:hAnsi="Cambria"/>
          <w:color w:val="000000"/>
        </w:rPr>
        <w:t>Error generating content for 'Scope':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59</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5 Sequence Diagram</w:t>
      </w:r>
    </w:p>
    <w:p>
      <w:pPr>
        <w:pStyle w:val="SRSHeading2"/>
        <w:spacing w:after="240"/>
      </w:pPr>
      <w:r>
        <w:rPr>
          <w:rFonts w:ascii="Cambria" w:hAnsi="Cambria"/>
          <w:color w:val="4682B4"/>
        </w:rPr>
        <w:t>5.1 Sequence Diagram</w:t>
      </w:r>
    </w:p>
    <w:p>
      <w:pPr>
        <w:pStyle w:val="SRSNormal"/>
        <w:jc w:val="both"/>
      </w:pPr>
      <w:r>
        <w:rPr>
          <w:rFonts w:ascii="Cambria" w:hAnsi="Cambria"/>
          <w:color w:val="000000"/>
        </w:rPr>
        <w:t>Error generating content for 'Sequence Diagram':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57</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2246344"/>
            <wp:docPr id="2" name="Picture 2"/>
            <wp:cNvGraphicFramePr>
              <a:graphicFrameLocks noChangeAspect="1"/>
            </wp:cNvGraphicFramePr>
            <a:graphic>
              <a:graphicData uri="http://schemas.openxmlformats.org/drawingml/2006/picture">
                <pic:pic>
                  <pic:nvPicPr>
                    <pic:cNvPr id="0" name="Sequence_Diagram_diagram.png"/>
                    <pic:cNvPicPr/>
                  </pic:nvPicPr>
                  <pic:blipFill>
                    <a:blip r:embed="rId14"/>
                    <a:stretch>
                      <a:fillRect/>
                    </a:stretch>
                  </pic:blipFill>
                  <pic:spPr>
                    <a:xfrm>
                      <a:off x="0" y="0"/>
                      <a:ext cx="5486400" cy="2246344"/>
                    </a:xfrm>
                    <a:prstGeom prst="rect"/>
                  </pic:spPr>
                </pic:pic>
              </a:graphicData>
            </a:graphic>
          </wp:inline>
        </w:drawing>
      </w:r>
    </w:p>
    <w:p/>
    <w:p>
      <w:pPr>
        <w:pStyle w:val="SRSHeading1"/>
      </w:pPr>
      <w:r>
        <w:t>6 Functional Requirements</w:t>
      </w:r>
    </w:p>
    <w:p>
      <w:pPr>
        <w:pStyle w:val="SRSHeading2"/>
        <w:spacing w:after="240"/>
      </w:pPr>
      <w:r>
        <w:rPr>
          <w:rFonts w:ascii="Cambria" w:hAnsi="Cambria"/>
          <w:color w:val="4682B4"/>
        </w:rPr>
        <w:t>6.1 Functional Requirements</w:t>
      </w:r>
    </w:p>
    <w:p>
      <w:pPr>
        <w:pStyle w:val="SRSNormal"/>
        <w:jc w:val="both"/>
      </w:pPr>
      <w:r>
        <w:rPr>
          <w:rFonts w:ascii="Cambria" w:hAnsi="Cambria"/>
          <w:color w:val="000000"/>
        </w:rPr>
        <w:t>Error generating content for 'Functional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55</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color w:val="000000"/>
        </w:rPr>
        <w:t>Error generating content for 'User Interface':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7.2 Database</w:t>
      </w:r>
    </w:p>
    <w:p>
      <w:pPr>
        <w:pStyle w:val="SRSNormal"/>
        <w:jc w:val="both"/>
      </w:pPr>
      <w:r>
        <w:rPr>
          <w:rFonts w:ascii="Cambria" w:hAnsi="Cambria"/>
          <w:color w:val="000000"/>
        </w:rPr>
        <w:t>Error generating content for 'Database':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50</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Error generating content for 'Communication/Security':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49</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7.4 System Integration</w:t>
      </w:r>
    </w:p>
    <w:p>
      <w:pPr>
        <w:pStyle w:val="SRSNormal"/>
        <w:jc w:val="both"/>
      </w:pPr>
      <w:r>
        <w:rPr>
          <w:rFonts w:ascii="Cambria" w:hAnsi="Cambria"/>
          <w:color w:val="000000"/>
        </w:rPr>
        <w:t>Error generating content for 'System Integration':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47</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7.5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45</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7.6 Legal</w:t>
      </w:r>
    </w:p>
    <w:p>
      <w:pPr>
        <w:pStyle w:val="SRSNormal"/>
        <w:jc w:val="both"/>
      </w:pPr>
      <w:r>
        <w:rPr>
          <w:rFonts w:ascii="Cambria" w:hAnsi="Cambria"/>
          <w:color w:val="000000"/>
        </w:rPr>
        <w:t>Error generating content for 'Legal':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8 System Architecture</w:t>
      </w:r>
    </w:p>
    <w:p>
      <w:pPr>
        <w:pStyle w:val="SRSHeading2"/>
        <w:spacing w:after="240"/>
      </w:pPr>
      <w:r>
        <w:rPr>
          <w:rFonts w:ascii="Cambria" w:hAnsi="Cambria"/>
          <w:color w:val="4682B4"/>
        </w:rPr>
        <w:t>8.1 Overview</w:t>
      </w:r>
    </w:p>
    <w:p>
      <w:pPr>
        <w:pStyle w:val="SRSNormal"/>
        <w:jc w:val="both"/>
      </w:pPr>
      <w:r>
        <w:rPr>
          <w:rFonts w:ascii="Cambria" w:hAnsi="Cambria"/>
          <w:color w:val="000000"/>
        </w:rPr>
        <w:t>Error generating content for 'Overview':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8.2 AI Subsystems</w:t>
      </w:r>
    </w:p>
    <w:p>
      <w:pPr>
        <w:pStyle w:val="SRSNormal"/>
        <w:jc w:val="both"/>
      </w:pPr>
      <w:r>
        <w:rPr>
          <w:rFonts w:ascii="Cambria" w:hAnsi="Cambria"/>
          <w:color w:val="000000"/>
        </w:rPr>
        <w:t>Error generating content for 'AI Subsystems':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41</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9 Hardware Requirements</w:t>
      </w:r>
    </w:p>
    <w:p>
      <w:pPr>
        <w:pStyle w:val="SRSHeading2"/>
        <w:spacing w:after="240"/>
      </w:pPr>
      <w:r>
        <w:rPr>
          <w:rFonts w:ascii="Cambria" w:hAnsi="Cambria"/>
          <w:color w:val="4682B4"/>
        </w:rPr>
        <w:t>9.1 Hardware Requirements</w:t>
      </w:r>
    </w:p>
    <w:p>
      <w:pPr>
        <w:pStyle w:val="SRSNormal"/>
      </w:pPr>
      <w:r>
        <w:t xml:space="preserve">• </w:t>
      </w:r>
      <w:r>
        <w:rPr>
          <w:rFonts w:ascii="Cambria" w:hAnsi="Cambria"/>
          <w:color w:val="000000"/>
        </w:rPr>
        <w:t xml:space="preserve">  The system shall operate primarily as an offline, on-premise device, provided as a dedicated server or purpose-built hardware unit.</w:t>
      </w:r>
    </w:p>
    <w:p>
      <w:pPr>
        <w:pStyle w:val="SRSNormal"/>
      </w:pPr>
      <w:r>
        <w:t xml:space="preserve">• </w:t>
      </w:r>
      <w:r>
        <w:rPr>
          <w:rFonts w:ascii="Cambria" w:hAnsi="Cambria"/>
          <w:color w:val="000000"/>
        </w:rPr>
        <w:t xml:space="preserve">  The system hardware shall support a Linux-based operating system.</w:t>
      </w:r>
    </w:p>
    <w:p>
      <w:pPr>
        <w:pStyle w:val="SRSNormal"/>
      </w:pPr>
      <w:r>
        <w:t xml:space="preserve">• </w:t>
      </w:r>
      <w:r>
        <w:rPr>
          <w:rFonts w:ascii="Cambria" w:hAnsi="Cambria"/>
          <w:color w:val="000000"/>
        </w:rPr>
        <w:t xml:space="preserve">  The system shall be offered in tiered hardware configurations to accommodate varying user concurrency levels and processing demands.</w:t>
      </w:r>
    </w:p>
    <w:p>
      <w:pPr>
        <w:pStyle w:val="SRSNormal"/>
      </w:pPr>
      <w:r>
        <w:t xml:space="preserve">• </w:t>
      </w:r>
      <w:r>
        <w:rPr>
          <w:rFonts w:ascii="Cambria" w:hAnsi="Cambria"/>
          <w:color w:val="000000"/>
        </w:rPr>
        <w:t xml:space="preserve">  A base hardware configuration shall support 1 to 5 concurrent users.</w:t>
      </w:r>
    </w:p>
    <w:p>
      <w:pPr>
        <w:pStyle w:val="SRSNormal"/>
      </w:pPr>
      <w:r>
        <w:t xml:space="preserve">• </w:t>
      </w:r>
      <w:r>
        <w:rPr>
          <w:rFonts w:ascii="Cambria" w:hAnsi="Cambria"/>
          <w:color w:val="000000"/>
        </w:rPr>
        <w:t xml:space="preserve">  Intermediate hardware configurations shall be available for 5 to 20 concurrent users.</w:t>
      </w:r>
    </w:p>
    <w:p>
      <w:pPr>
        <w:pStyle w:val="SRSNormal"/>
      </w:pPr>
      <w:r>
        <w:t xml:space="preserve">• </w:t>
      </w:r>
      <w:r>
        <w:rPr>
          <w:rFonts w:ascii="Cambria" w:hAnsi="Cambria"/>
          <w:color w:val="000000"/>
        </w:rPr>
        <w:t xml:space="preserve">  Higher-tier server configurations shall be available to support greater user concurrency, such as up to 100 concurrent users.</w:t>
      </w:r>
    </w:p>
    <w:p>
      <w:pPr>
        <w:pStyle w:val="SRSNormal"/>
      </w:pPr>
      <w:r>
        <w:t xml:space="preserve">• </w:t>
      </w:r>
      <w:r>
        <w:rPr>
          <w:rFonts w:ascii="Cambria" w:hAnsi="Cambria"/>
          <w:color w:val="000000"/>
        </w:rPr>
        <w:t xml:space="preserve">  The system hardware shall provide customizable GPU power, RAM, and storage tailored to the selected usage tier and AI processing load.</w:t>
      </w:r>
    </w:p>
    <w:p>
      <w:pPr>
        <w:pStyle w:val="SRSNormal"/>
      </w:pPr>
      <w:r>
        <w:t xml:space="preserve">• </w:t>
      </w:r>
      <w:r>
        <w:rPr>
          <w:rFonts w:ascii="Cambria" w:hAnsi="Cambria"/>
          <w:color w:val="000000"/>
        </w:rPr>
        <w:t xml:space="preserve">  The system shall support dedicated AI processing units (e.g., NPUs or TPUs) or optimized GPU configurations for enhanced performance.</w:t>
      </w:r>
    </w:p>
    <w:p>
      <w:pPr>
        <w:pStyle w:val="SRSNormal"/>
      </w:pPr>
      <w:r>
        <w:t xml:space="preserve">• </w:t>
      </w:r>
      <w:r>
        <w:rPr>
          <w:rFonts w:ascii="Cambria" w:hAnsi="Cambria"/>
          <w:color w:val="000000"/>
        </w:rPr>
        <w:t xml:space="preserve">  The system shall include local storage capacity designed to handle varying data volumes.</w:t>
      </w:r>
    </w:p>
    <w:p>
      <w:pPr>
        <w:pStyle w:val="SRSNormal"/>
      </w:pPr>
      <w:r>
        <w:t xml:space="preserve">• </w:t>
      </w:r>
      <w:r>
        <w:rPr>
          <w:rFonts w:ascii="Cambria" w:hAnsi="Cambria"/>
          <w:color w:val="000000"/>
        </w:rPr>
        <w:t xml:space="preserve">  The system shall tentatively allocate 10 GB of storage per subject for shared learning materials.</w:t>
      </w:r>
    </w:p>
    <w:p>
      <w:pPr>
        <w:pStyle w:val="SRSNormal"/>
      </w:pPr>
      <w:r>
        <w:t xml:space="preserve">• </w:t>
      </w:r>
      <w:r>
        <w:rPr>
          <w:rFonts w:ascii="Cambria" w:hAnsi="Cambria"/>
          <w:color w:val="000000"/>
        </w:rPr>
        <w:t xml:space="preserve">  The system shall tentatively allocate 2 GB of storage per teacher for individual learning materials and chat histories.</w:t>
      </w:r>
    </w:p>
    <w:p>
      <w:pPr>
        <w:pStyle w:val="SRSNormal"/>
      </w:pPr>
      <w:r>
        <w:t xml:space="preserve">• </w:t>
      </w:r>
      <w:r>
        <w:rPr>
          <w:rFonts w:ascii="Cambria" w:hAnsi="Cambria"/>
          <w:color w:val="000000"/>
        </w:rPr>
        <w:t xml:space="preserve">  The system shall implement a school-wide storage limit, tentatively 50 GB, with an automated notification to administrators when a predefined threshold (e.g., 45 GB) is reached.</w:t>
      </w:r>
    </w:p>
    <w:p>
      <w:pPr>
        <w:pStyle w:val="SRSNormal"/>
      </w:pPr>
      <w:r>
        <w:t xml:space="preserve">• </w:t>
      </w:r>
      <w:r>
        <w:rPr>
          <w:rFonts w:ascii="Cambria" w:hAnsi="Cambria"/>
          <w:color w:val="000000"/>
        </w:rPr>
        <w:t xml:space="preserve">  The system shall enforce a maximum file size for individual document uploads, tentatively 150 MB.</w:t>
      </w:r>
    </w:p>
    <w:p>
      <w:pPr>
        <w:pStyle w:val="SRSNormal"/>
      </w:pPr>
      <w:r>
        <w:t xml:space="preserve">• </w:t>
      </w:r>
      <w:r>
        <w:rPr>
          <w:rFonts w:ascii="Cambria" w:hAnsi="Cambria"/>
          <w:color w:val="000000"/>
        </w:rPr>
        <w:t xml:space="preserve">  The system shall compress PDF documents during ingestion to optimize storage and processing efficiency, aiming for an ingested size of approximately 75 MB.</w:t>
      </w:r>
    </w:p>
    <w:p>
      <w:pPr>
        <w:pStyle w:val="SRSNormal"/>
      </w:pPr>
      <w:r>
        <w:t xml:space="preserve">• </w:t>
      </w:r>
      <w:r>
        <w:rPr>
          <w:rFonts w:ascii="Cambria" w:hAnsi="Cambria"/>
          <w:color w:val="000000"/>
        </w:rPr>
        <w:t xml:space="preserve">  The system shall provide functionality for administrators to delete data from the local storage, which shall concurrently remove corresponding entries from the vector database and trigger re-indexing.</w:t>
      </w:r>
    </w:p>
    <w:p>
      <w:pPr>
        <w:pStyle w:val="SRSNormal"/>
      </w:pPr>
      <w:r>
        <w:t xml:space="preserve">• </w:t>
      </w:r>
      <w:r>
        <w:rPr>
          <w:rFonts w:ascii="Cambria" w:hAnsi="Cambria"/>
          <w:color w:val="000000"/>
        </w:rPr>
        <w:t xml:space="preserve">  The system shall integrate with external MIS/LMS systems to pull relevant data points (e.g., attendance, grades, student demographics) into a local database.</w:t>
      </w:r>
    </w:p>
    <w:p>
      <w:pPr>
        <w:pStyle w:val="SRSNormal"/>
      </w:pPr>
      <w:r>
        <w:t xml:space="preserve">• </w:t>
      </w:r>
      <w:r>
        <w:rPr>
          <w:rFonts w:ascii="Cambria" w:hAnsi="Cambria"/>
          <w:color w:val="000000"/>
        </w:rPr>
        <w:t xml:space="preserve">  This integration shall be facilitated through a secondary, internet-connected transfer device that communicates with the local offline system.</w:t>
      </w:r>
    </w:p>
    <w:p>
      <w:pPr>
        <w:pStyle w:val="SRSNormal"/>
      </w:pPr>
      <w:r>
        <w:t xml:space="preserve">• </w:t>
      </w:r>
      <w:r>
        <w:rPr>
          <w:rFonts w:ascii="Cambria" w:hAnsi="Cambria"/>
          <w:color w:val="000000"/>
        </w:rPr>
        <w:t xml:space="preserve">  Data synchronization from external systems to the local database shall occur via scheduled intervals (e.g., nightly cron jobs) rather than real-time connections, to manage bandwidth and system load.</w:t>
      </w:r>
    </w:p>
    <w:p>
      <w:pPr>
        <w:pStyle w:val="SRSNormal"/>
      </w:pPr>
      <w:r>
        <w:t xml:space="preserve">• </w:t>
      </w:r>
      <w:r>
        <w:rPr>
          <w:rFonts w:ascii="Cambria" w:hAnsi="Cambria"/>
          <w:color w:val="000000"/>
        </w:rPr>
        <w:t xml:space="preserve">  The physical hardware unit shall be installed within the client’s local network environment.</w:t>
      </w:r>
    </w:p>
    <w:p>
      <w:pPr>
        <w:pStyle w:val="SRSNormal"/>
      </w:pPr>
      <w:r>
        <w:t xml:space="preserve">• </w:t>
      </w:r>
      <w:r>
        <w:rPr>
          <w:rFonts w:ascii="Cambria" w:hAnsi="Cambria"/>
          <w:color w:val="000000"/>
        </w:rPr>
        <w:t xml:space="preserve">  The client shall be responsible for providing adequate network infrastructure, including bandwidth, to support the system's internal operation.</w:t>
      </w:r>
    </w:p>
    <w:p>
      <w:pPr>
        <w:pStyle w:val="SRSNormal"/>
      </w:pPr>
      <w:r>
        <w:t xml:space="preserve">• </w:t>
      </w:r>
      <w:r>
        <w:rPr>
          <w:rFonts w:ascii="Cambria" w:hAnsi="Cambria"/>
          <w:color w:val="000000"/>
        </w:rPr>
        <w:t xml:space="preserve">  The system vendor shall provide initial assistance for connecting the system but shall not be responsible for ongoing local network management.</w:t>
      </w:r>
    </w:p>
    <w:p>
      <w:pPr>
        <w:pStyle w:val="SRSNormal"/>
      </w:pPr>
      <w:r>
        <w:t xml:space="preserve">• </w:t>
      </w:r>
      <w:r>
        <w:rPr>
          <w:rFonts w:ascii="Cambria" w:hAnsi="Cambria"/>
          <w:color w:val="000000"/>
        </w:rPr>
        <w:t xml:space="preserve">  The system shall implement encryption for data stored on its solid-state drive to ensure data privacy and security compliant with relevant regulations (e.g., GDPR, UAE data privacy laws).</w:t>
      </w:r>
    </w:p>
    <w:p/>
    <w:p>
      <w:pPr>
        <w:pStyle w:val="SRSHeading1"/>
      </w:pPr>
      <w:r>
        <w:t>10 Acceptance Criteria</w:t>
      </w:r>
    </w:p>
    <w:p>
      <w:pPr>
        <w:pStyle w:val="SRSHeading2"/>
        <w:spacing w:after="240"/>
      </w:pPr>
      <w:r>
        <w:rPr>
          <w:rFonts w:ascii="Cambria" w:hAnsi="Cambria"/>
          <w:color w:val="4682B4"/>
        </w:rPr>
        <w:t>10.1 Acceptance Criteria</w:t>
      </w:r>
    </w:p>
    <w:p>
      <w:pPr>
        <w:pStyle w:val="SRSNormal"/>
        <w:jc w:val="both"/>
      </w:pPr>
      <w:r>
        <w:rPr>
          <w:rFonts w:ascii="Cambria" w:hAnsi="Cambria"/>
          <w:b/>
          <w:color w:val="000000"/>
        </w:rPr>
        <w:t>Acceptance Criteria</w:t>
      </w:r>
    </w:p>
    <w:p>
      <w:pPr>
        <w:pStyle w:val="SRSNormal"/>
      </w:pPr>
    </w:p>
    <w:p>
      <w:pPr>
        <w:pStyle w:val="SRSNormal"/>
        <w:jc w:val="both"/>
      </w:pPr>
      <w:r>
        <w:rPr>
          <w:rFonts w:ascii="Cambria" w:hAnsi="Cambria"/>
          <w:color w:val="000000"/>
        </w:rPr>
        <w:t>The System shall primarily be accepted based on its effective operation as an internal advisory tool for school inspection readiness and academic analysis, rather than as a public-facing reporting mechanism. The core value of the product is rooted in the quality and relevance of its AI-generated responses and recommendations, which shall provide actionable insights to address identified school pain points. The accuracy of the RAG system, alongside its capability to process diverse document formats including those containing images and tables, is paramount. Furthermore, the user interface shall remain intuitive and simple, mirroring established chat-based AI platforms to ensure ease of adoption and expedite market entry.</w:t>
      </w:r>
    </w:p>
    <w:p>
      <w:pPr>
        <w:pStyle w:val="SRSNormal"/>
      </w:pPr>
    </w:p>
    <w:p>
      <w:pPr>
        <w:pStyle w:val="SRSNormal"/>
        <w:jc w:val="both"/>
      </w:pPr>
      <w:r>
        <w:rPr>
          <w:rFonts w:ascii="Cambria" w:hAnsi="Cambria"/>
          <w:color w:val="000000"/>
        </w:rPr>
        <w:t>The System shall maintain strict control over data integrity; only authorized administrative personnel shall manage the central knowledge base, and student-generated content shall not automatically be integrated into core data repositories. The AI responses shall consistently adhere to a defined scope, ensuring professional and contextually appropriate interactions, particularly during student engagements. The System shall not provide official student grades or personal performance metrics that could lead to external disputes, focusing instead on supporting internal teaching and learning processes.</w:t>
      </w:r>
    </w:p>
    <w:p/>
    <w:p>
      <w:pPr>
        <w:pStyle w:val="SRSHeading1"/>
      </w:pPr>
      <w:r>
        <w:t>11 Product Future</w:t>
      </w:r>
    </w:p>
    <w:p>
      <w:pPr>
        <w:pStyle w:val="SRSHeading2"/>
        <w:spacing w:after="240"/>
      </w:pPr>
      <w:r>
        <w:rPr>
          <w:rFonts w:ascii="Cambria" w:hAnsi="Cambria"/>
          <w:color w:val="4682B4"/>
        </w:rPr>
        <w:t>11.1 Product Future</w:t>
      </w:r>
    </w:p>
    <w:p>
      <w:pPr>
        <w:pStyle w:val="SRSNormal"/>
        <w:jc w:val="both"/>
      </w:pPr>
      <w:r>
        <w:rPr>
          <w:rFonts w:ascii="Cambria" w:hAnsi="Cambria"/>
          <w:color w:val="000000"/>
        </w:rPr>
        <w:t>The system shall evolve to incorporate a multi-tenancy web-based model, enabling broader stakeholder access and remote management capabilities. Future development shall prioritize expanded API integrations with diverse MIS/LMS platforms and direct connectivity with government education bodies, including automated data synchronization.</w:t>
      </w:r>
    </w:p>
    <w:p>
      <w:pPr>
        <w:pStyle w:val="SRSNormal"/>
      </w:pPr>
    </w:p>
    <w:p>
      <w:pPr>
        <w:pStyle w:val="SRSNormal"/>
        <w:jc w:val="both"/>
      </w:pPr>
      <w:r>
        <w:rPr>
          <w:rFonts w:ascii="Cambria" w:hAnsi="Cambria"/>
          <w:color w:val="000000"/>
        </w:rPr>
        <w:t>The product roadmap identifies new verticals, such as finance and manufacturing, alongside advanced features like predictive analytics for student enrollment and churn, supported by a modular, tiered subscription framework.</w:t>
      </w:r>
    </w:p>
    <w:p/>
    <w:p>
      <w:pPr>
        <w:pStyle w:val="SRSHeading1"/>
      </w:pPr>
      <w:r>
        <w:t>12 Open Queries</w:t>
      </w:r>
    </w:p>
    <w:p>
      <w:pPr>
        <w:pStyle w:val="SRSHeading2"/>
        <w:spacing w:after="240"/>
      </w:pPr>
      <w:r>
        <w:rPr>
          <w:rFonts w:ascii="Cambria" w:hAnsi="Cambria"/>
          <w:color w:val="4682B4"/>
        </w:rPr>
        <w:t>12.1 Open Queries</w:t>
      </w:r>
    </w:p>
    <w:p>
      <w:pPr>
        <w:pStyle w:val="SRSNormal"/>
        <w:jc w:val="both"/>
      </w:pPr>
      <w:r>
        <w:rPr>
          <w:rFonts w:ascii="Cambria" w:hAnsi="Cambria"/>
          <w:color w:val="000000"/>
        </w:rPr>
        <w:t>• What are the specific performance metrics (e.g., response time, processing speed) required for AI functionality across different hardware tiers and concurrent user loads (e.g., 1-5, 5-20, 20-50 users)?</w:t>
      </w:r>
    </w:p>
    <w:p>
      <w:pPr>
        <w:pStyle w:val="SRSNormal"/>
        <w:jc w:val="both"/>
      </w:pPr>
      <w:r>
        <w:rPr>
          <w:rFonts w:ascii="Cambria" w:hAnsi="Cambria"/>
          <w:color w:val="000000"/>
        </w:rPr>
        <w:t>• What are the detailed hardware specifications for each tiered system (e.g., GPU, RAM, storage) required to support the defined concurrent user loads and data processing demands?</w:t>
      </w:r>
    </w:p>
    <w:p>
      <w:pPr>
        <w:pStyle w:val="SRSNormal"/>
        <w:jc w:val="both"/>
      </w:pPr>
      <w:r>
        <w:rPr>
          <w:rFonts w:ascii="Cambria" w:hAnsi="Cambria"/>
          <w:color w:val="000000"/>
        </w:rPr>
        <w:t>• What are the specific requirements for the "receiver device" proposed to bridge cloud-based MIS/LMS systems with the offline AI system, including its hardware specifications and communication protocols?</w:t>
      </w:r>
    </w:p>
    <w:p>
      <w:pPr>
        <w:pStyle w:val="SRSNormal"/>
        <w:jc w:val="both"/>
      </w:pPr>
      <w:r>
        <w:rPr>
          <w:rFonts w:ascii="Cambria" w:hAnsi="Cambria"/>
          <w:color w:val="000000"/>
        </w:rPr>
        <w:t>• What is the estimated total data volume expected per school for all learning materials, policies, student data, and historical chat logs over a typical operational period (e.g., annually), to inform overall storage strategies?</w:t>
      </w:r>
    </w:p>
    <w:p>
      <w:pPr>
        <w:pStyle w:val="SRSNormal"/>
        <w:jc w:val="both"/>
      </w:pPr>
      <w:r>
        <w:rPr>
          <w:rFonts w:ascii="Cambria" w:hAnsi="Cambria"/>
          <w:color w:val="000000"/>
        </w:rPr>
        <w:t>• What is the acceptable maximum file size for individual document uploads, and what is the desired compression strategy for large PDF/image files during ingestion?</w:t>
      </w:r>
    </w:p>
    <w:p>
      <w:pPr>
        <w:pStyle w:val="SRSNormal"/>
        <w:jc w:val="both"/>
      </w:pPr>
      <w:r>
        <w:rPr>
          <w:rFonts w:ascii="Cambria" w:hAnsi="Cambria"/>
          <w:color w:val="000000"/>
        </w:rPr>
        <w:t>• What specific types of images (e.g., statistical charts, diagrams, student work samples) are expected to be present within uploaded documents that require processing by the AI system?</w:t>
      </w:r>
    </w:p>
    <w:p>
      <w:pPr>
        <w:pStyle w:val="SRSNormal"/>
        <w:jc w:val="both"/>
      </w:pPr>
      <w:r>
        <w:rPr>
          <w:rFonts w:ascii="Cambria" w:hAnsi="Cambria"/>
          <w:color w:val="000000"/>
        </w:rPr>
        <w:t>• How crucial is real-time processing of newly uploaded data for immediate response generation, versus scheduled processing (e.g., nightly, weekly) to optimize compute resources?</w:t>
      </w:r>
    </w:p>
    <w:p>
      <w:pPr>
        <w:pStyle w:val="SRSNormal"/>
        <w:jc w:val="both"/>
      </w:pPr>
      <w:r>
        <w:rPr>
          <w:rFonts w:ascii="Cambria" w:hAnsi="Cambria"/>
          <w:color w:val="000000"/>
        </w:rPr>
        <w:t>• What is the exact process for initial bulk data ingestion from existing school storage solutions (e.g., OneDrive, SharePoint, local drives) into the AI system's accessible location for teacher resources and curriculum?</w:t>
      </w:r>
    </w:p>
    <w:p>
      <w:pPr>
        <w:pStyle w:val="SRSNormal"/>
        <w:jc w:val="both"/>
      </w:pPr>
      <w:r>
        <w:rPr>
          <w:rFonts w:ascii="Cambria" w:hAnsi="Cambria"/>
          <w:color w:val="000000"/>
        </w:rPr>
        <w:t>• What specific data points from MIS/LMS integrations are essential for each use case, beyond general attendance and grades?</w:t>
      </w:r>
    </w:p>
    <w:p>
      <w:pPr>
        <w:pStyle w:val="SRSNormal"/>
        <w:jc w:val="both"/>
      </w:pPr>
      <w:r>
        <w:rPr>
          <w:rFonts w:ascii="Cambria" w:hAnsi="Cambria"/>
          <w:color w:val="000000"/>
        </w:rPr>
        <w:t>• What is the preferred format and content of internal school documents (e.g., Excel sheets, Word documents) used for inspection preparation, beyond publicly available frameworks?</w:t>
      </w:r>
    </w:p>
    <w:p>
      <w:pPr>
        <w:pStyle w:val="SRSNormal"/>
        <w:jc w:val="both"/>
      </w:pPr>
      <w:r>
        <w:rPr>
          <w:rFonts w:ascii="Cambria" w:hAnsi="Cambria"/>
          <w:color w:val="000000"/>
        </w:rPr>
        <w:t>• What is the proposed method for ensuring that teacher-uploaded materials intended for the shared central repository are consistently categorized and do not conflict with or overwrite existing content, especially with multiple teachers contributing?</w:t>
      </w:r>
    </w:p>
    <w:p>
      <w:pPr>
        <w:pStyle w:val="SRSNormal"/>
        <w:jc w:val="both"/>
      </w:pPr>
      <w:r>
        <w:rPr>
          <w:rFonts w:ascii="Cambria" w:hAnsi="Cambria"/>
          <w:color w:val="000000"/>
        </w:rPr>
        <w:t>• How will the system identify and flag missing required data points for comprehensive report generation or analysis?</w:t>
      </w:r>
    </w:p>
    <w:p>
      <w:pPr>
        <w:pStyle w:val="SRSNormal"/>
        <w:jc w:val="both"/>
      </w:pPr>
      <w:r>
        <w:rPr>
          <w:rFonts w:ascii="Cambria" w:hAnsi="Cambria"/>
          <w:color w:val="000000"/>
        </w:rPr>
        <w:t>• What is the desired level of user customization for generated report formats (e.g., changing sequence, adding specific line items) beyond predefined templates?</w:t>
      </w:r>
    </w:p>
    <w:p>
      <w:pPr>
        <w:pStyle w:val="SRSNormal"/>
        <w:jc w:val="both"/>
      </w:pPr>
      <w:r>
        <w:rPr>
          <w:rFonts w:ascii="Cambria" w:hAnsi="Cambria"/>
          <w:color w:val="000000"/>
        </w:rPr>
        <w:t>• What specific functionalities or views are essential for the administrator dashboard, beyond role-based access, file control, and user tracking?</w:t>
      </w:r>
    </w:p>
    <w:p>
      <w:pPr>
        <w:pStyle w:val="SRSNormal"/>
        <w:jc w:val="both"/>
      </w:pPr>
      <w:r>
        <w:rPr>
          <w:rFonts w:ascii="Cambria" w:hAnsi="Cambria"/>
          <w:color w:val="000000"/>
        </w:rPr>
        <w:t>• Will there be a need for variable content access or differentiated data views for school staff (e.g., HODs) beyond the initial phase, which currently assumes all users see the same data?</w:t>
      </w:r>
    </w:p>
    <w:p>
      <w:pPr>
        <w:pStyle w:val="SRSNormal"/>
        <w:jc w:val="both"/>
      </w:pPr>
      <w:r>
        <w:rPr>
          <w:rFonts w:ascii="Cambria" w:hAnsi="Cambria"/>
          <w:color w:val="000000"/>
        </w:rPr>
        <w:t>• What are the specific login and tracking requirements for individual students interacting with the system in a classroom setting, ensuring proper attribution and audit logging while maintaining data privacy?</w:t>
      </w:r>
    </w:p>
    <w:p>
      <w:pPr>
        <w:pStyle w:val="SRSNormal"/>
        <w:jc w:val="both"/>
      </w:pPr>
      <w:r>
        <w:rPr>
          <w:rFonts w:ascii="Cambria" w:hAnsi="Cambria"/>
          <w:color w:val="000000"/>
        </w:rPr>
        <w:t>• What are the desired functionalities for teachers to configure AI response styles or "personalities" for student interactions, ensuring alignment with school policies and pedagogical approaches?</w:t>
      </w:r>
    </w:p>
    <w:p>
      <w:pPr>
        <w:pStyle w:val="SRSNormal"/>
        <w:jc w:val="both"/>
      </w:pPr>
      <w:r>
        <w:rPr>
          <w:rFonts w:ascii="Cambria" w:hAnsi="Cambria"/>
          <w:color w:val="000000"/>
        </w:rPr>
        <w:t>• What is the initial list of specific learning disabilities (e.g., dyslexia, ADHD subtypes) the system shall account for when generating personalized learning materials or adapting content?</w:t>
      </w:r>
    </w:p>
    <w:p>
      <w:pPr>
        <w:pStyle w:val="SRSNormal"/>
        <w:jc w:val="both"/>
      </w:pPr>
      <w:r>
        <w:rPr>
          <w:rFonts w:ascii="Cambria" w:hAnsi="Cambria"/>
          <w:color w:val="000000"/>
        </w:rPr>
        <w:t>• What specific data privacy regulations and compliance standards (e.g., GDPR, UAE, Dubai laws) must the system adhere to, and how will this impact data access and logging for MIS Consultancy?</w:t>
      </w:r>
    </w:p>
    <w:p>
      <w:pPr>
        <w:pStyle w:val="SRSNormal"/>
        <w:jc w:val="both"/>
      </w:pPr>
      <w:r>
        <w:rPr>
          <w:rFonts w:ascii="Cambria" w:hAnsi="Cambria"/>
          <w:color w:val="000000"/>
        </w:rPr>
        <w:t>• How will the system handle potential data loss or service disruption if a school's subscription lapses and data is automatically deleted after a defined grace period?</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