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1"/>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pPr>
      <w:r>
        <w:rPr>
          <w:b/>
        </w:rPr>
        <w:t>2 System Requirements</w:t>
      </w:r>
    </w:p>
    <w:p>
      <w:pPr>
        <w:pStyle w:val="SRSNormal"/>
        <w:ind w:left="720"/>
      </w:pPr>
      <w:r>
        <w:t>2.1 Constraints and Limitation</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outlines the comprehensive requirements for the Canary.ai system, an AI-powered call analytics platform tailored for the restaurant industry. The system shall enable restaurants to capture, process, and analyze inbound call data to derive actionable business insights. It shall provide detailed metrics on customer interactions, including sentiment, common queries, and campaign effectiveness. The platform shall assist restaurant operators in understanding customer needs and optimizing their operational and marketing strategies. This specification serves as the foundational guide for the development and implementation of the Canary.ai solution.</w:t>
      </w:r>
    </w:p>
    <w:p/>
    <w:p>
      <w:pPr>
        <w:pStyle w:val="SRSHeading1"/>
      </w:pPr>
      <w:r>
        <w:t>2 System Requirements</w:t>
      </w:r>
    </w:p>
    <w:p>
      <w:pPr>
        <w:pStyle w:val="SRSHeading2"/>
        <w:spacing w:after="240"/>
      </w:pPr>
      <w:r>
        <w:rPr>
          <w:rFonts w:ascii="Cambria" w:hAnsi="Cambria"/>
          <w:color w:val="4682B4"/>
        </w:rPr>
        <w:t>2.1 Constraints and Limitation</w:t>
      </w:r>
    </w:p>
    <w:p>
      <w:pPr>
        <w:pStyle w:val="SRSNormal"/>
        <w:jc w:val="both"/>
      </w:pPr>
      <w:r>
        <w:rPr>
          <w:rFonts w:ascii="Cambria" w:hAnsi="Cambria"/>
          <w:color w:val="000000"/>
        </w:rPr>
        <w:t>• The system shall initially support the English language only.</w:t>
      </w:r>
    </w:p>
    <w:p>
      <w:pPr>
        <w:pStyle w:val="SRSNormal"/>
        <w:jc w:val="both"/>
      </w:pPr>
      <w:r>
        <w:rPr>
          <w:rFonts w:ascii="Cambria" w:hAnsi="Cambria"/>
          <w:color w:val="000000"/>
        </w:rPr>
        <w:t>• The system shall support initial deployments for up to 10 restaurants located in Dubai.</w:t>
      </w:r>
    </w:p>
    <w:p>
      <w:pPr>
        <w:pStyle w:val="SRSNormal"/>
        <w:jc w:val="both"/>
      </w:pPr>
      <w:r>
        <w:rPr>
          <w:rFonts w:ascii="Cambria" w:hAnsi="Cambria"/>
          <w:color w:val="000000"/>
        </w:rPr>
        <w:t>• The system's user interface and user experience shall prioritize simplicity and ease of use, catering to non-technical restaurant staff users.</w:t>
      </w:r>
    </w:p>
    <w:p>
      <w:pPr>
        <w:pStyle w:val="SRSNormal"/>
        <w:jc w:val="both"/>
      </w:pPr>
      <w:r>
        <w:rPr>
          <w:rFonts w:ascii="Cambria" w:hAnsi="Cambria"/>
          <w:color w:val="000000"/>
        </w:rPr>
        <w:t>• The system shall comply with UAE data privacy regulations, with future GDPR compliance to be evaluated.</w:t>
      </w:r>
    </w:p>
    <w:p>
      <w:pPr>
        <w:pStyle w:val="SRSNormal"/>
        <w:jc w:val="both"/>
      </w:pPr>
      <w:r>
        <w:rPr>
          <w:rFonts w:ascii="Cambria" w:hAnsi="Cambria"/>
          <w:color w:val="000000"/>
        </w:rPr>
        <w:t>• The system shall employ a conferencing method for call recording; direct call forwarding without conferencing is not supported for recording.</w:t>
      </w:r>
    </w:p>
    <w:p>
      <w:pPr>
        <w:pStyle w:val="SRSNormal"/>
        <w:jc w:val="both"/>
      </w:pPr>
      <w:r>
        <w:rPr>
          <w:rFonts w:ascii="Cambria" w:hAnsi="Cambria"/>
          <w:color w:val="000000"/>
        </w:rPr>
        <w:t>• The system shall not require any additional IT infrastructure or uplift on the restaurant's premises.</w:t>
      </w:r>
    </w:p>
    <w:p>
      <w:pPr>
        <w:pStyle w:val="SRSNormal"/>
        <w:jc w:val="both"/>
      </w:pPr>
      <w:r>
        <w:rPr>
          <w:rFonts w:ascii="Cambria" w:hAnsi="Cambria"/>
          <w:color w:val="000000"/>
        </w:rPr>
        <w:t>• The system shall only integrate with call providers capable of provisioning phone numbers, including UAE-specific and 800 numbers, in the GCC region.</w:t>
      </w:r>
    </w:p>
    <w:p>
      <w:pPr>
        <w:pStyle w:val="SRSNormal"/>
        <w:jc w:val="both"/>
      </w:pPr>
      <w:r>
        <w:rPr>
          <w:rFonts w:ascii="Cambria" w:hAnsi="Cambria"/>
          <w:color w:val="000000"/>
        </w:rPr>
        <w:t>• Future multilingual capabilities shall account for diverse linguistic dialects.</w:t>
      </w:r>
    </w:p>
    <w:p>
      <w:pPr>
        <w:pStyle w:val="SRSNormal"/>
        <w:jc w:val="both"/>
      </w:pPr>
      <w:r>
        <w:rPr>
          <w:rFonts w:ascii="Cambria" w:hAnsi="Cambria"/>
          <w:color w:val="000000"/>
        </w:rPr>
        <w:t>• The system shall provide an option for vendors to disable the system's default Interactive Voice Response (IVR) message if they utilize their own IVR system.</w:t>
      </w:r>
    </w:p>
    <w:p>
      <w:pPr>
        <w:pStyle w:val="SRSNormal"/>
        <w:jc w:val="both"/>
      </w:pPr>
      <w:r>
        <w:rPr>
          <w:rFonts w:ascii="Cambria" w:hAnsi="Cambria"/>
          <w:color w:val="000000"/>
        </w:rPr>
        <w:t>• The system shall provide analytics updates in near real-time, with specific update frequencies configurable based on cost and client preference.</w:t>
      </w:r>
    </w:p>
    <w:p>
      <w:pPr>
        <w:pStyle w:val="SRSNormal"/>
        <w:jc w:val="both"/>
      </w:pPr>
      <w:r>
        <w:rPr>
          <w:rFonts w:ascii="Cambria" w:hAnsi="Cambria"/>
          <w:color w:val="000000"/>
        </w:rPr>
        <w:t>• The system shall initially target individual restaurants possessing dedicated phone numbers, excluding hotel reservation lines that forward calls internally.</w:t>
      </w:r>
    </w:p>
    <w:p>
      <w:pPr>
        <w:pStyle w:val="SRSNormal"/>
        <w:jc w:val="both"/>
      </w:pPr>
      <w:r>
        <w:rPr>
          <w:rFonts w:ascii="Cambria" w:hAnsi="Cambria"/>
          <w:color w:val="000000"/>
        </w:rPr>
        <w:t>• The system shall not permit the export of raw call data or processed raw data by any user.</w:t>
      </w:r>
    </w:p>
    <w:p>
      <w:pPr>
        <w:pStyle w:val="SRSNormal"/>
        <w:jc w:val="both"/>
      </w:pPr>
      <w:r>
        <w:rPr>
          <w:rFonts w:ascii="Cambria" w:hAnsi="Cambria"/>
          <w:color w:val="000000"/>
        </w:rPr>
        <w:t>• The system shall not record outbound calls initiated by the vendor.</w:t>
      </w:r>
    </w:p>
    <w:p>
      <w:pPr>
        <w:pStyle w:val="SRSNormal"/>
        <w:jc w:val="both"/>
      </w:pPr>
      <w:r>
        <w:rPr>
          <w:rFonts w:ascii="Cambria" w:hAnsi="Cambria"/>
          <w:color w:val="000000"/>
        </w:rPr>
        <w:t>• The system's value calculation and analytics shall rely on mandatory client-provided data points, including average spend per head, frequency of customer visits, and average group booking size, as well as optional activation details.</w:t>
      </w:r>
    </w:p>
    <w:p>
      <w:pPr>
        <w:pStyle w:val="SRSNormal"/>
        <w:jc w:val="both"/>
      </w:pPr>
      <w:r>
        <w:rPr>
          <w:rFonts w:ascii="Cambria" w:hAnsi="Cambria"/>
          <w:color w:val="000000"/>
        </w:rPr>
        <w:t>• The system's initial pricing model shall be flexible, defined per client by the sales team, and shall incorporate a base subscription with usage-based charges.</w:t>
      </w:r>
    </w:p>
    <w:p>
      <w:pPr>
        <w:pStyle w:val="SRSNormal"/>
        <w:jc w:val="both"/>
      </w:pPr>
      <w:r>
        <w:rPr>
          <w:rFonts w:ascii="Cambria" w:hAnsi="Cambria"/>
          <w:color w:val="000000"/>
        </w:rPr>
        <w:t>• The system's initial user onboarding process shall involve manual intervention by the sales team, transitioning to full self-service in future phases.</w:t>
      </w:r>
    </w:p>
    <w:p>
      <w:pPr>
        <w:pStyle w:val="SRSNormal"/>
        <w:jc w:val="both"/>
      </w:pPr>
      <w:r>
        <w:rPr>
          <w:rFonts w:ascii="Cambria" w:hAnsi="Cambria"/>
          <w:color w:val="000000"/>
        </w:rPr>
        <w:t>• The system shall retain client data for a defined period (e.g., 2-3 months) post-subscription cancellation; historical data may not be accessible if a client re-subscribes after this period.</w:t>
      </w:r>
    </w:p>
    <w:p>
      <w:pPr>
        <w:pStyle w:val="SRSNormal"/>
        <w:jc w:val="both"/>
      </w:pPr>
      <w:r>
        <w:rPr>
          <w:rFonts w:ascii="Cambria" w:hAnsi="Cambria"/>
          <w:color w:val="000000"/>
        </w:rPr>
        <w:t>• The system's design and functionality shall prioritize an "idiot-proof" and intuitive user experience due to the non-technical nature of target users.</w:t>
      </w:r>
    </w:p>
    <w:p>
      <w:pPr>
        <w:pStyle w:val="SRSNormal"/>
        <w:jc w:val="both"/>
      </w:pPr>
      <w:r>
        <w:rPr>
          <w:rFonts w:ascii="Cambria" w:hAnsi="Cambria"/>
          <w:color w:val="000000"/>
        </w:rPr>
        <w:t>• The initial Minimum Viable Product (MVP) shall include a focused set of core features, with additional functionalities implemented in subsequent phases.</w:t>
      </w:r>
    </w:p>
    <w:p>
      <w:pPr>
        <w:pStyle w:val="SRSNormal"/>
        <w:jc w:val="both"/>
      </w:pPr>
      <w:r>
        <w:rPr>
          <w:rFonts w:ascii="Cambria" w:hAnsi="Cambria"/>
          <w:color w:val="000000"/>
        </w:rPr>
        <w:t>• The system shall implement an auto top-up mechanism for call minutes, automatically charging the client's registered card when a predefined usage threshold is met to prevent service interruption.</w:t>
      </w:r>
    </w:p>
    <w:p>
      <w:pPr>
        <w:pStyle w:val="SRSNormal"/>
        <w:jc w:val="both"/>
      </w:pPr>
      <w:r>
        <w:rPr>
          <w:rFonts w:ascii="Cambria" w:hAnsi="Cambria"/>
          <w:color w:val="000000"/>
        </w:rPr>
        <w:t>• The system shall implement a grace period and notification system for failed payments, and administrators shall possess a "kill switch" for account deactivation if payment issues persist.</w:t>
      </w:r>
    </w:p>
    <w:p>
      <w:pPr>
        <w:pStyle w:val="SRSNormal"/>
        <w:jc w:val="both"/>
      </w:pPr>
      <w:r>
        <w:rPr>
          <w:rFonts w:ascii="Cambria" w:hAnsi="Cambria"/>
          <w:color w:val="000000"/>
        </w:rPr>
        <w:t>• The system shall primarily rely on End User License Agreement (EULA) or terms and conditions acceptance during the signup process; formal contracts for enterprise clients shall be managed externally.</w:t>
      </w:r>
    </w:p>
    <w:p>
      <w:pPr>
        <w:pStyle w:val="SRSNormal"/>
        <w:jc w:val="both"/>
      </w:pPr>
      <w:r>
        <w:rPr>
          <w:rFonts w:ascii="Cambria" w:hAnsi="Cambria"/>
          <w:color w:val="000000"/>
        </w:rPr>
        <w:t>• The system shall not enable call recording for calls initiated by the restaurant/vendor.</w:t>
      </w:r>
    </w:p>
    <w:p>
      <w:pPr>
        <w:pStyle w:val="SRSNormal"/>
        <w:jc w:val="both"/>
      </w:pPr>
      <w:r>
        <w:rPr>
          <w:rFonts w:ascii="Cambria" w:hAnsi="Cambria"/>
          <w:color w:val="000000"/>
        </w:rPr>
        <w:t>• The system shall allow for the reuse of campaign phone numbers for new campaigns only after the previous campaign has been explicitly ended by the user.</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