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743200" cy="968875"/>
            <wp:docPr id="1" name="Picture 1"/>
            <wp:cNvGraphicFramePr>
              <a:graphicFrameLocks noChangeAspect="1"/>
            </wp:cNvGraphicFramePr>
            <a:graphic>
              <a:graphicData uri="http://schemas.openxmlformats.org/drawingml/2006/picture">
                <pic:pic>
                  <pic:nvPicPr>
                    <pic:cNvPr id="0" name="srs_logo.png"/>
                    <pic:cNvPicPr/>
                  </pic:nvPicPr>
                  <pic:blipFill>
                    <a:blip r:embed="rId13"/>
                    <a:stretch>
                      <a:fillRect/>
                    </a:stretch>
                  </pic:blipFill>
                  <pic:spPr>
                    <a:xfrm>
                      <a:off x="0" y="0"/>
                      <a:ext cx="2743200" cy="968875"/>
                    </a:xfrm>
                    <a:prstGeom prst="rect"/>
                  </pic:spPr>
                </pic:pic>
              </a:graphicData>
            </a:graphic>
          </wp:inline>
        </w:drawing>
      </w:r>
    </w:p>
    <w:p/>
    <w:p>
      <w:pPr>
        <w:pStyle w:val="SRSTitle"/>
      </w:pPr>
      <w:r>
        <w:t>Software Requirements Specification</w:t>
      </w:r>
    </w:p>
    <w:p/>
    <w:p>
      <w:pPr>
        <w:pStyle w:val="SRSTitle"/>
        <w:jc w:val="center"/>
      </w:pPr>
      <w:r>
        <w:rPr>
          <w:b/>
          <w:color w:val="4682B4"/>
          <w:sz w:val="40"/>
        </w:rPr>
        <w:t>MIS</w:t>
      </w:r>
    </w:p>
    <w:p/>
    <w:p>
      <w:pPr>
        <w:pStyle w:val="SRSNormal"/>
        <w:jc w:val="center"/>
      </w:pPr>
      <w:r>
        <w:t>Generated by SRS Dynamic Generator</w:t>
      </w:r>
    </w:p>
    <w:p/>
    <w:p/>
    <w:p>
      <w:pPr>
        <w:pStyle w:val="SRSNormal"/>
        <w:jc w:val="left"/>
      </w:pPr>
      <w:r>
        <w:rPr>
          <w:b/>
        </w:rPr>
        <w:t>Document Information:</w:t>
      </w:r>
    </w:p>
    <w:p>
      <w:pPr>
        <w:pStyle w:val="SRSNormal"/>
      </w:pPr>
      <w:r>
        <w:t>Document Type: Software Requirements Specification</w:t>
      </w:r>
    </w:p>
    <w:p>
      <w:pPr>
        <w:pStyle w:val="SRSNormal"/>
      </w:pPr>
      <w:r>
        <w:t>Tool: SRS Dynamic Generator</w:t>
      </w:r>
    </w:p>
    <w:p>
      <w:pPr>
        <w:pStyle w:val="SRSNormal"/>
      </w:pPr>
      <w:r>
        <w:t>Version: 1.0</w:t>
      </w:r>
    </w:p>
    <w:p>
      <w:r>
        <w:br w:type="page"/>
      </w:r>
    </w:p>
    <w:p>
      <w:pPr>
        <w:pStyle w:val="SRSHeading1"/>
        <w:jc w:val="center"/>
      </w:pPr>
      <w:r>
        <w:t>Table of Contents</w:t>
      </w:r>
    </w:p>
    <w:p>
      <w:pPr>
        <w:pStyle w:val="SRSNormal"/>
      </w:pPr>
      <w:r>
        <w:rPr>
          <w:b/>
        </w:rPr>
        <w:t>1 Introduction</w:t>
      </w:r>
    </w:p>
    <w:p>
      <w:pPr>
        <w:pStyle w:val="SRSNormal"/>
        <w:ind w:left="720"/>
      </w:pPr>
      <w:r>
        <w:t>1.1 Document Purpose</w:t>
      </w:r>
    </w:p>
    <w:p>
      <w:pPr>
        <w:pStyle w:val="SRSNormal"/>
        <w:ind w:left="720"/>
      </w:pPr>
      <w:r>
        <w:t>1.2 Project Purpose</w:t>
      </w:r>
    </w:p>
    <w:p>
      <w:pPr>
        <w:pStyle w:val="SRSNormal"/>
        <w:ind w:left="720"/>
      </w:pPr>
      <w:r>
        <w:t>1.3 Project Objectives</w:t>
      </w:r>
    </w:p>
    <w:p>
      <w:pPr>
        <w:pStyle w:val="SRSNormal"/>
        <w:ind w:left="720"/>
      </w:pPr>
      <w:r>
        <w:t>1.4 Project Stakeholders</w:t>
      </w:r>
    </w:p>
    <w:p>
      <w:pPr>
        <w:pStyle w:val="SRSNormal"/>
        <w:ind w:left="720"/>
      </w:pPr>
      <w:r>
        <w:t>1.5 Assumptions</w:t>
      </w:r>
    </w:p>
    <w:p>
      <w:pPr>
        <w:pStyle w:val="SRSNormal"/>
        <w:ind w:left="720"/>
      </w:pPr>
      <w:r>
        <w:t>1.6 Acronyms and Abbreviations</w:t>
      </w:r>
    </w:p>
    <w:p>
      <w:pPr>
        <w:pStyle w:val="SRSNormal"/>
      </w:pPr>
      <w:r>
        <w:rPr>
          <w:b/>
        </w:rPr>
        <w:t>2 Non-Functional Requirements</w:t>
      </w:r>
    </w:p>
    <w:p>
      <w:pPr>
        <w:pStyle w:val="SRSNormal"/>
        <w:ind w:left="720"/>
      </w:pPr>
      <w:r>
        <w:t>2.1 Non-Functional Requirements</w:t>
      </w:r>
    </w:p>
    <w:p>
      <w:pPr>
        <w:pStyle w:val="SRSNormal"/>
      </w:pPr>
      <w:r>
        <w:rPr>
          <w:b/>
        </w:rPr>
        <w:t>3 User Personas</w:t>
      </w:r>
    </w:p>
    <w:p>
      <w:pPr>
        <w:pStyle w:val="SRSNormal"/>
        <w:ind w:left="720"/>
      </w:pPr>
      <w:r>
        <w:t>3.1 User Personas</w:t>
      </w:r>
    </w:p>
    <w:p>
      <w:pPr>
        <w:pStyle w:val="SRSNormal"/>
      </w:pPr>
      <w:r>
        <w:rPr>
          <w:b/>
        </w:rPr>
        <w:t>4 Scope</w:t>
      </w:r>
    </w:p>
    <w:p>
      <w:pPr>
        <w:pStyle w:val="SRSNormal"/>
        <w:ind w:left="720"/>
      </w:pPr>
      <w:r>
        <w:t>4.1 Scope</w:t>
      </w:r>
    </w:p>
    <w:p>
      <w:pPr>
        <w:pStyle w:val="SRSNormal"/>
      </w:pPr>
      <w:r>
        <w:rPr>
          <w:b/>
        </w:rPr>
        <w:t>5 Sequence Diagram</w:t>
      </w:r>
    </w:p>
    <w:p>
      <w:pPr>
        <w:pStyle w:val="SRSNormal"/>
        <w:ind w:left="720"/>
      </w:pPr>
      <w:r>
        <w:t>5.1 Sequence Diagram</w:t>
      </w:r>
    </w:p>
    <w:p>
      <w:pPr>
        <w:pStyle w:val="SRSNormal"/>
      </w:pPr>
      <w:r>
        <w:rPr>
          <w:b/>
        </w:rPr>
        <w:t>6 Functional Requirements</w:t>
      </w:r>
    </w:p>
    <w:p>
      <w:pPr>
        <w:pStyle w:val="SRSNormal"/>
        <w:ind w:left="720"/>
      </w:pPr>
      <w:r>
        <w:t>6.1 Functional Requirements</w:t>
      </w:r>
    </w:p>
    <w:p>
      <w:pPr>
        <w:pStyle w:val="SRSNormal"/>
      </w:pPr>
      <w:r>
        <w:rPr>
          <w:b/>
        </w:rPr>
        <w:t>7 System Requirements</w:t>
      </w:r>
    </w:p>
    <w:p>
      <w:pPr>
        <w:pStyle w:val="SRSNormal"/>
        <w:ind w:left="720"/>
      </w:pPr>
      <w:r>
        <w:t>7.1 User Interface</w:t>
      </w:r>
    </w:p>
    <w:p>
      <w:pPr>
        <w:pStyle w:val="SRSNormal"/>
        <w:ind w:left="720"/>
      </w:pPr>
      <w:r>
        <w:t>7.2 Database</w:t>
      </w:r>
    </w:p>
    <w:p>
      <w:pPr>
        <w:pStyle w:val="SRSNormal"/>
        <w:ind w:left="720"/>
      </w:pPr>
      <w:r>
        <w:t>7.3 Communication/Security</w:t>
      </w:r>
    </w:p>
    <w:p>
      <w:pPr>
        <w:pStyle w:val="SRSNormal"/>
        <w:ind w:left="720"/>
      </w:pPr>
      <w:r>
        <w:t>7.4 System Integration</w:t>
      </w:r>
    </w:p>
    <w:p>
      <w:pPr>
        <w:pStyle w:val="SRSNormal"/>
        <w:ind w:left="720"/>
      </w:pPr>
      <w:r>
        <w:t>7.5 Constraints and Limitation</w:t>
      </w:r>
    </w:p>
    <w:p>
      <w:pPr>
        <w:pStyle w:val="SRSNormal"/>
        <w:ind w:left="720"/>
      </w:pPr>
      <w:r>
        <w:t>7.6 Legal</w:t>
      </w:r>
    </w:p>
    <w:p>
      <w:pPr>
        <w:pStyle w:val="SRSNormal"/>
      </w:pPr>
      <w:r>
        <w:rPr>
          <w:b/>
        </w:rPr>
        <w:t>8 System Architecture</w:t>
      </w:r>
    </w:p>
    <w:p>
      <w:pPr>
        <w:pStyle w:val="SRSNormal"/>
        <w:ind w:left="720"/>
      </w:pPr>
      <w:r>
        <w:t>8.1 Overview</w:t>
      </w:r>
    </w:p>
    <w:p>
      <w:pPr>
        <w:pStyle w:val="SRSNormal"/>
        <w:ind w:left="720"/>
      </w:pPr>
      <w:r>
        <w:t>8.2 AI Subsystems</w:t>
      </w:r>
    </w:p>
    <w:p>
      <w:pPr>
        <w:pStyle w:val="SRSNormal"/>
      </w:pPr>
      <w:r>
        <w:rPr>
          <w:b/>
        </w:rPr>
        <w:t>9 Hardware Requirements</w:t>
      </w:r>
    </w:p>
    <w:p>
      <w:pPr>
        <w:pStyle w:val="SRSNormal"/>
        <w:ind w:left="720"/>
      </w:pPr>
      <w:r>
        <w:t>9.1 Hardware Requirements</w:t>
      </w:r>
    </w:p>
    <w:p>
      <w:pPr>
        <w:pStyle w:val="SRSNormal"/>
      </w:pPr>
      <w:r>
        <w:rPr>
          <w:b/>
        </w:rPr>
        <w:t>10 Acceptance Criteria</w:t>
      </w:r>
    </w:p>
    <w:p>
      <w:pPr>
        <w:pStyle w:val="SRSNormal"/>
        <w:ind w:left="720"/>
      </w:pPr>
      <w:r>
        <w:t>10.1 Acceptance Criteria</w:t>
      </w:r>
    </w:p>
    <w:p>
      <w:pPr>
        <w:pStyle w:val="SRSNormal"/>
      </w:pPr>
      <w:r>
        <w:rPr>
          <w:b/>
        </w:rPr>
        <w:t>11 Product Future</w:t>
      </w:r>
    </w:p>
    <w:p>
      <w:pPr>
        <w:pStyle w:val="SRSNormal"/>
        <w:ind w:left="720"/>
      </w:pPr>
      <w:r>
        <w:t>11.1 Product Future</w:t>
      </w:r>
    </w:p>
    <w:p>
      <w:pPr>
        <w:pStyle w:val="SRSNormal"/>
      </w:pPr>
      <w:r>
        <w:rPr>
          <w:b/>
        </w:rPr>
        <w:t>12 Open Queries</w:t>
      </w:r>
    </w:p>
    <w:p>
      <w:pPr>
        <w:pStyle w:val="SRSNormal"/>
        <w:ind w:left="720"/>
      </w:pPr>
      <w:r>
        <w:t>12.1 Open Queries</w:t>
      </w:r>
    </w:p>
    <w:p>
      <w:r>
        <w:br w:type="page"/>
      </w:r>
    </w:p>
    <w:p>
      <w:pPr>
        <w:pStyle w:val="SRSHeading1"/>
      </w:pPr>
      <w:r>
        <w:t>1 Introduction</w:t>
      </w:r>
    </w:p>
    <w:p>
      <w:pPr>
        <w:pStyle w:val="SRSHeading2"/>
        <w:spacing w:after="240"/>
      </w:pPr>
      <w:r>
        <w:rPr>
          <w:rFonts w:ascii="Cambria" w:hAnsi="Cambria"/>
          <w:color w:val="4682B4"/>
        </w:rPr>
        <w:t>1.1 Document Purpose</w:t>
      </w:r>
    </w:p>
    <w:p>
      <w:pPr>
        <w:pStyle w:val="SRSNormal"/>
        <w:jc w:val="both"/>
      </w:pPr>
      <w:r>
        <w:rPr>
          <w:rFonts w:ascii="Cambria" w:hAnsi="Cambria"/>
          <w:color w:val="000000"/>
        </w:rPr>
        <w:t>This Software Requirements Specification (SRS) document provides a foundational blueprint for the comprehensive AI-driven educational platform. It precisely articulates the system's intended purpose, defining the scope and overall vision necessary for all stakeholders throughout the development lifecycle. This document establishes a single, authoritative reference point, ensuring direct alignment between the defined business objectives and their corresponding technical implementation.</w:t>
      </w:r>
    </w:p>
    <w:p>
      <w:pPr>
        <w:pStyle w:val="SRSNormal"/>
      </w:pPr>
    </w:p>
    <w:p>
      <w:pPr>
        <w:pStyle w:val="SRSNormal"/>
        <w:jc w:val="both"/>
      </w:pPr>
      <w:r>
        <w:rPr>
          <w:rFonts w:ascii="Cambria" w:hAnsi="Cambria"/>
          <w:color w:val="000000"/>
        </w:rPr>
        <w:t>The SRS meticulously details the functional and non-functional requirements for the modular AI tools, encompassing critical functionalities for AI-driven school inspection readiness, curriculum enhancement, personalized lesson planning, and academic performance analysis. It further specifies the requirements for AI-enabled marketing and admissions support, outlining user roles, data management strategies, system interfaces, and preliminary hardware architecture for subsequent technical design.</w:t>
      </w:r>
    </w:p>
    <w:p>
      <w:pPr>
        <w:pStyle w:val="SRSHeading2"/>
        <w:spacing w:after="240"/>
      </w:pPr>
      <w:r>
        <w:rPr>
          <w:rFonts w:ascii="Cambria" w:hAnsi="Cambria"/>
          <w:color w:val="4682B4"/>
        </w:rPr>
        <w:t>1.2 Project Purpose</w:t>
      </w:r>
    </w:p>
    <w:p>
      <w:pPr>
        <w:pStyle w:val="SRSNormal"/>
        <w:jc w:val="both"/>
      </w:pPr>
      <w:r>
        <w:rPr>
          <w:rFonts w:ascii="Cambria" w:hAnsi="Cambria"/>
          <w:color w:val="000000"/>
        </w:rPr>
        <w:t>The primary purpose of this project is to deliver an innovative, offline AI-driven platform tailored for international schools. This system shall serve as a centralized advisory tool, addressing the pervasive challenges of scattered data, lack of integration, and inefficient workflows inherent in traditional school operations. It shall provide secure, private, and controlled access to data-driven insights, functioning as an internal advisory engine for various school management and pedagogical activities.</w:t>
      </w:r>
    </w:p>
    <w:p>
      <w:pPr>
        <w:pStyle w:val="SRSNormal"/>
      </w:pPr>
    </w:p>
    <w:p>
      <w:pPr>
        <w:pStyle w:val="SRSNormal"/>
        <w:jc w:val="both"/>
      </w:pPr>
      <w:r>
        <w:rPr>
          <w:rFonts w:ascii="Cambria" w:hAnsi="Cambria"/>
          <w:color w:val="000000"/>
        </w:rPr>
        <w:t>The system shall enable schools to enhance their operational efficiency, support informed decision-making, and ultimately foster student growth. It shall achieve these objectives by providing modular AI capabilities, including inspection readiness support, curriculum enhancement, personalized lesson planning, and academic performance analysis. The system shall function as a blueprint for scalable, maintainable AI solutions designed for the unique needs of top-tier educational institutions.</w:t>
      </w:r>
    </w:p>
    <w:p>
      <w:pPr>
        <w:pStyle w:val="SRSHeading2"/>
        <w:spacing w:after="240"/>
      </w:pPr>
      <w:r>
        <w:rPr>
          <w:rFonts w:ascii="Cambria" w:hAnsi="Cambria"/>
          <w:color w:val="4682B4"/>
        </w:rPr>
        <w:t>1.3 Project Objectives</w:t>
      </w:r>
    </w:p>
    <w:p>
      <w:pPr>
        <w:pStyle w:val="SRSNormal"/>
        <w:jc w:val="both"/>
      </w:pPr>
      <w:r>
        <w:rPr>
          <w:rFonts w:ascii="Cambria" w:hAnsi="Cambria"/>
          <w:color w:val="000000"/>
        </w:rPr>
        <w:t>The system shall provide offline, AI-driven tools to enhance operational efficiency and strategic decision-making within educational institutions.</w:t>
      </w:r>
    </w:p>
    <w:p>
      <w:pPr>
        <w:pStyle w:val="SRSNormal"/>
      </w:pPr>
    </w:p>
    <w:p>
      <w:pPr>
        <w:pStyle w:val="SRSNormal"/>
      </w:pPr>
      <w:r>
        <w:t xml:space="preserve">• </w:t>
      </w:r>
      <w:r>
        <w:rPr>
          <w:rFonts w:ascii="Cambria" w:hAnsi="Cambria"/>
          <w:color w:val="000000"/>
        </w:rPr>
        <w:t xml:space="preserve">  The system shall support schools in achieving inspection readiness by analyzing relevant framework documents and prior reports.</w:t>
      </w:r>
    </w:p>
    <w:p>
      <w:pPr>
        <w:pStyle w:val="SRSNormal"/>
      </w:pPr>
      <w:r>
        <w:t xml:space="preserve">• </w:t>
      </w:r>
      <w:r>
        <w:rPr>
          <w:rFonts w:ascii="Cambria" w:hAnsi="Cambria"/>
          <w:color w:val="000000"/>
        </w:rPr>
        <w:t xml:space="preserve">  The system shall facilitate curriculum enhancement and personalized lesson planning for educators.</w:t>
      </w:r>
    </w:p>
    <w:p>
      <w:pPr>
        <w:pStyle w:val="SRSNormal"/>
      </w:pPr>
      <w:r>
        <w:t xml:space="preserve">• </w:t>
      </w:r>
      <w:r>
        <w:rPr>
          <w:rFonts w:ascii="Cambria" w:hAnsi="Cambria"/>
          <w:color w:val="000000"/>
        </w:rPr>
        <w:t xml:space="preserve">  The system shall enable academic performance tracking and analytical reporting to replace existing data visualization tools.</w:t>
      </w:r>
    </w:p>
    <w:p>
      <w:pPr>
        <w:pStyle w:val="SRSNormal"/>
      </w:pPr>
      <w:r>
        <w:t xml:space="preserve">• </w:t>
      </w:r>
      <w:r>
        <w:rPr>
          <w:rFonts w:ascii="Cambria" w:hAnsi="Cambria"/>
          <w:color w:val="000000"/>
        </w:rPr>
        <w:t xml:space="preserve">  The system shall assist admissions and marketing departments with insights for student recruitment and outreach.</w:t>
      </w:r>
    </w:p>
    <w:p>
      <w:pPr>
        <w:pStyle w:val="SRSNormal"/>
      </w:pPr>
      <w:r>
        <w:t xml:space="preserve">• </w:t>
      </w:r>
      <w:r>
        <w:rPr>
          <w:rFonts w:ascii="Cambria" w:hAnsi="Cambria"/>
          <w:color w:val="000000"/>
        </w:rPr>
        <w:t xml:space="preserve">  The system shall integrate disparate data sources from various school management systems into a unified repository.</w:t>
      </w:r>
    </w:p>
    <w:p>
      <w:pPr>
        <w:pStyle w:val="SRSNormal"/>
      </w:pPr>
      <w:r>
        <w:t xml:space="preserve">• </w:t>
      </w:r>
      <w:r>
        <w:rPr>
          <w:rFonts w:ascii="Cambria" w:hAnsi="Cambria"/>
          <w:color w:val="000000"/>
        </w:rPr>
        <w:t xml:space="preserve">  The system architecture shall be modular, allowing for independent deployment and scalable functionality for each use case.</w:t>
      </w:r>
    </w:p>
    <w:p>
      <w:pPr>
        <w:pStyle w:val="SRSNormal"/>
      </w:pPr>
      <w:r>
        <w:t xml:space="preserve">• </w:t>
      </w:r>
      <w:r>
        <w:rPr>
          <w:rFonts w:ascii="Cambria" w:hAnsi="Cambria"/>
          <w:color w:val="000000"/>
        </w:rPr>
        <w:t xml:space="preserve">  The system shall prioritize data security and privacy by operating primarily in an offline, on-premise environment.</w:t>
      </w:r>
    </w:p>
    <w:p>
      <w:pPr>
        <w:pStyle w:val="SRSNormal"/>
      </w:pPr>
      <w:r>
        <w:t xml:space="preserve">• </w:t>
      </w:r>
      <w:r>
        <w:rPr>
          <w:rFonts w:ascii="Cambria" w:hAnsi="Cambria"/>
          <w:color w:val="000000"/>
        </w:rPr>
        <w:t xml:space="preserve">  The system shall generate internal advisory recommendations rather than public-facing reports.</w:t>
      </w:r>
    </w:p>
    <w:p>
      <w:pPr>
        <w:pStyle w:val="SRSHeading2"/>
        <w:spacing w:after="240"/>
      </w:pPr>
      <w:r>
        <w:rPr>
          <w:rFonts w:ascii="Cambria" w:hAnsi="Cambria"/>
          <w:color w:val="4682B4"/>
        </w:rPr>
        <w:t>1.4 Project Stakeholders</w:t>
      </w:r>
    </w:p>
    <w:p>
      <w:pPr>
        <w:pStyle w:val="SRSNormal"/>
        <w:jc w:val="both"/>
      </w:pPr>
      <w:r>
        <w:rPr>
          <w:rFonts w:ascii="Cambria" w:hAnsi="Cambria"/>
          <w:color w:val="000000"/>
        </w:rPr>
        <w:t>Error generating content for 'Project Stakeholders':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19</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1.5 Assumptions</w:t>
      </w:r>
    </w:p>
    <w:p>
      <w:pPr>
        <w:pStyle w:val="SRSNormal"/>
        <w:jc w:val="both"/>
      </w:pPr>
      <w:r>
        <w:rPr>
          <w:rFonts w:ascii="Cambria" w:hAnsi="Cambria"/>
          <w:color w:val="000000"/>
        </w:rPr>
        <w:t>Error generating content for 'Assumptions':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17</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1.6 Acronyms and Abbreviations</w:t>
      </w:r>
    </w:p>
    <w:p>
      <w:pPr>
        <w:pStyle w:val="SRSNormal"/>
        <w:jc w:val="both"/>
      </w:pPr>
      <w:r>
        <w:rPr>
          <w:rFonts w:ascii="Cambria" w:hAnsi="Cambria"/>
          <w:color w:val="000000"/>
        </w:rPr>
        <w:t>Error generating content for 'Acronyms and Abbreviations':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16</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2 Non-Functional Requirements</w:t>
      </w:r>
    </w:p>
    <w:p>
      <w:pPr>
        <w:pStyle w:val="SRSHeading2"/>
        <w:spacing w:after="240"/>
      </w:pPr>
      <w:r>
        <w:rPr>
          <w:rFonts w:ascii="Cambria" w:hAnsi="Cambria"/>
          <w:color w:val="4682B4"/>
        </w:rPr>
        <w:t>2.1 Non-Functional Requirements</w:t>
      </w:r>
    </w:p>
    <w:p>
      <w:pPr>
        <w:pStyle w:val="SRSNormal"/>
        <w:jc w:val="both"/>
      </w:pPr>
      <w:r>
        <w:rPr>
          <w:rFonts w:ascii="Cambria" w:hAnsi="Cambria"/>
          <w:color w:val="000000"/>
        </w:rPr>
        <w:t>Error generating content for 'Non-Functional Requirements':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8</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3 User Personas</w:t>
      </w:r>
    </w:p>
    <w:p>
      <w:pPr>
        <w:pStyle w:val="SRSHeading2"/>
        <w:spacing w:after="240"/>
      </w:pPr>
      <w:r>
        <w:rPr>
          <w:rFonts w:ascii="Cambria" w:hAnsi="Cambria"/>
          <w:color w:val="4682B4"/>
        </w:rPr>
        <w:t>3.1 User Personas</w:t>
      </w:r>
    </w:p>
    <w:p>
      <w:pPr>
        <w:pStyle w:val="SRSNormal"/>
        <w:jc w:val="both"/>
      </w:pPr>
      <w:r>
        <w:rPr>
          <w:rFonts w:ascii="Cambria" w:hAnsi="Cambria"/>
          <w:color w:val="000000"/>
        </w:rPr>
        <w:t>Error generating content for 'User Personas':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14</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4 Scope</w:t>
      </w:r>
    </w:p>
    <w:p>
      <w:pPr>
        <w:pStyle w:val="SRSHeading2"/>
        <w:spacing w:after="240"/>
      </w:pPr>
      <w:r>
        <w:rPr>
          <w:rFonts w:ascii="Cambria" w:hAnsi="Cambria"/>
          <w:color w:val="4682B4"/>
        </w:rPr>
        <w:t>4.1 Scope</w:t>
      </w:r>
    </w:p>
    <w:p>
      <w:pPr>
        <w:pStyle w:val="SRSNormal"/>
        <w:jc w:val="both"/>
      </w:pPr>
      <w:r>
        <w:rPr>
          <w:rFonts w:ascii="Cambria" w:hAnsi="Cambria"/>
          <w:color w:val="000000"/>
        </w:rPr>
        <w:t>Error generating content for 'Scope':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12</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5 Sequence Diagram</w:t>
      </w:r>
    </w:p>
    <w:p>
      <w:pPr>
        <w:pStyle w:val="SRSHeading2"/>
        <w:spacing w:after="240"/>
      </w:pPr>
      <w:r>
        <w:rPr>
          <w:rFonts w:ascii="Cambria" w:hAnsi="Cambria"/>
          <w:color w:val="4682B4"/>
        </w:rPr>
        <w:t>5.1 Sequence Diagram</w:t>
      </w:r>
    </w:p>
    <w:p>
      <w:pPr>
        <w:pStyle w:val="SRSNormal"/>
        <w:jc w:val="both"/>
      </w:pPr>
      <w:r>
        <w:rPr>
          <w:rFonts w:ascii="Cambria" w:hAnsi="Cambria"/>
          <w:color w:val="000000"/>
        </w:rPr>
        <w:t>Error generating content for 'Sequence Diagram':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11</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Normal"/>
        <w:spacing w:after="120"/>
        <w:ind w:left="360"/>
      </w:pPr>
      <w:r>
        <w:t>The following diagram illustrates the system design:</w:t>
      </w:r>
    </w:p>
    <w:p>
      <w:pPr>
        <w:spacing w:after="240"/>
        <w:jc w:val="center"/>
      </w:pPr>
      <w:r>
        <w:drawing>
          <wp:inline xmlns:a="http://schemas.openxmlformats.org/drawingml/2006/main" xmlns:pic="http://schemas.openxmlformats.org/drawingml/2006/picture">
            <wp:extent cx="5486400" cy="2763107"/>
            <wp:docPr id="2" name="Picture 2"/>
            <wp:cNvGraphicFramePr>
              <a:graphicFrameLocks noChangeAspect="1"/>
            </wp:cNvGraphicFramePr>
            <a:graphic>
              <a:graphicData uri="http://schemas.openxmlformats.org/drawingml/2006/picture">
                <pic:pic>
                  <pic:nvPicPr>
                    <pic:cNvPr id="0" name="Sequence_Diagram_diagram.png"/>
                    <pic:cNvPicPr/>
                  </pic:nvPicPr>
                  <pic:blipFill>
                    <a:blip r:embed="rId14"/>
                    <a:stretch>
                      <a:fillRect/>
                    </a:stretch>
                  </pic:blipFill>
                  <pic:spPr>
                    <a:xfrm>
                      <a:off x="0" y="0"/>
                      <a:ext cx="5486400" cy="2763107"/>
                    </a:xfrm>
                    <a:prstGeom prst="rect"/>
                  </pic:spPr>
                </pic:pic>
              </a:graphicData>
            </a:graphic>
          </wp:inline>
        </w:drawing>
      </w:r>
    </w:p>
    <w:p/>
    <w:p>
      <w:pPr>
        <w:pStyle w:val="SRSHeading1"/>
      </w:pPr>
      <w:r>
        <w:t>6 Functional Requirements</w:t>
      </w:r>
    </w:p>
    <w:p>
      <w:pPr>
        <w:pStyle w:val="SRSHeading2"/>
        <w:spacing w:after="240"/>
      </w:pPr>
      <w:r>
        <w:rPr>
          <w:rFonts w:ascii="Cambria" w:hAnsi="Cambria"/>
          <w:color w:val="4682B4"/>
        </w:rPr>
        <w:t>6.1 Functional Requirements</w:t>
      </w:r>
    </w:p>
    <w:p>
      <w:pPr>
        <w:pStyle w:val="SRSNormal"/>
        <w:jc w:val="both"/>
      </w:pPr>
      <w:r>
        <w:rPr>
          <w:rFonts w:ascii="Cambria" w:hAnsi="Cambria"/>
          <w:color w:val="000000"/>
        </w:rPr>
        <w:t>Error generating content for 'Functional Requirements':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9</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7 System Requirements</w:t>
      </w:r>
    </w:p>
    <w:p>
      <w:pPr>
        <w:pStyle w:val="SRSHeading2"/>
        <w:spacing w:after="240"/>
      </w:pPr>
      <w:r>
        <w:rPr>
          <w:rFonts w:ascii="Cambria" w:hAnsi="Cambria"/>
          <w:color w:val="4682B4"/>
        </w:rPr>
        <w:t>7.1 User Interface</w:t>
      </w:r>
    </w:p>
    <w:p>
      <w:pPr>
        <w:pStyle w:val="SRSNormal"/>
        <w:jc w:val="both"/>
      </w:pPr>
      <w:r>
        <w:rPr>
          <w:rFonts w:ascii="Cambria" w:hAnsi="Cambria"/>
          <w:color w:val="000000"/>
        </w:rPr>
        <w:t>Error generating content for 'User Interface':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6</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7.2 Database</w:t>
      </w:r>
    </w:p>
    <w:p>
      <w:pPr>
        <w:pStyle w:val="SRSNormal"/>
        <w:jc w:val="both"/>
      </w:pPr>
      <w:r>
        <w:rPr>
          <w:rFonts w:ascii="Cambria" w:hAnsi="Cambria"/>
          <w:color w:val="000000"/>
        </w:rPr>
        <w:t>Error generating content for 'Database':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5</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7.3 Communication/Security</w:t>
      </w:r>
    </w:p>
    <w:p>
      <w:pPr>
        <w:pStyle w:val="SRSNormal"/>
        <w:jc w:val="both"/>
      </w:pPr>
      <w:r>
        <w:rPr>
          <w:rFonts w:ascii="Cambria" w:hAnsi="Cambria"/>
          <w:color w:val="000000"/>
        </w:rPr>
        <w:t>Error generating content for 'Communication/Security':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3</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7.4 System Integration</w:t>
      </w:r>
    </w:p>
    <w:p>
      <w:pPr>
        <w:pStyle w:val="SRSNormal"/>
        <w:jc w:val="both"/>
      </w:pPr>
      <w:r>
        <w:rPr>
          <w:rFonts w:ascii="Cambria" w:hAnsi="Cambria"/>
          <w:color w:val="000000"/>
        </w:rPr>
        <w:t>Error generating content for 'System Integration':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2</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7.5 Constraints and Limitation</w:t>
      </w:r>
    </w:p>
    <w:p>
      <w:pPr>
        <w:pStyle w:val="SRSNormal"/>
        <w:jc w:val="both"/>
      </w:pPr>
      <w:r>
        <w:rPr>
          <w:rFonts w:ascii="Cambria" w:hAnsi="Cambria"/>
          <w:color w:val="000000"/>
        </w:rPr>
        <w:t>Error generating content for 'Constraints and Limitation':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7.6 Legal</w:t>
      </w:r>
    </w:p>
    <w:p>
      <w:pPr>
        <w:pStyle w:val="SRSNormal"/>
        <w:jc w:val="both"/>
      </w:pPr>
      <w:r>
        <w:rPr>
          <w:rFonts w:ascii="Cambria" w:hAnsi="Cambria"/>
          <w:color w:val="000000"/>
        </w:rPr>
        <w:t>Error generating content for 'Legal':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58</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8 System Architecture</w:t>
      </w:r>
    </w:p>
    <w:p>
      <w:pPr>
        <w:pStyle w:val="SRSHeading2"/>
        <w:spacing w:after="240"/>
      </w:pPr>
      <w:r>
        <w:rPr>
          <w:rFonts w:ascii="Cambria" w:hAnsi="Cambria"/>
          <w:color w:val="4682B4"/>
        </w:rPr>
        <w:t>8.1 Overview</w:t>
      </w:r>
    </w:p>
    <w:p>
      <w:pPr>
        <w:pStyle w:val="SRSNormal"/>
        <w:jc w:val="both"/>
      </w:pPr>
      <w:r>
        <w:rPr>
          <w:rFonts w:ascii="Cambria" w:hAnsi="Cambria"/>
          <w:color w:val="000000"/>
        </w:rPr>
        <w:t>Error generating content for 'Overview':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57</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8.2 AI Subsystems</w:t>
      </w:r>
    </w:p>
    <w:p>
      <w:pPr>
        <w:pStyle w:val="SRSNormal"/>
        <w:jc w:val="both"/>
      </w:pPr>
      <w:r>
        <w:rPr>
          <w:rFonts w:ascii="Cambria" w:hAnsi="Cambria"/>
          <w:color w:val="000000"/>
        </w:rPr>
        <w:t>Error generating content for 'AI Subsystems':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55</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9 Hardware Requirements</w:t>
      </w:r>
    </w:p>
    <w:p>
      <w:pPr>
        <w:pStyle w:val="SRSHeading2"/>
        <w:spacing w:after="240"/>
      </w:pPr>
      <w:r>
        <w:rPr>
          <w:rFonts w:ascii="Cambria" w:hAnsi="Cambria"/>
          <w:color w:val="4682B4"/>
        </w:rPr>
        <w:t>9.1 Hardware Requirements</w:t>
      </w:r>
    </w:p>
    <w:p>
      <w:pPr>
        <w:pStyle w:val="SRSNormal"/>
      </w:pPr>
      <w:r>
        <w:t xml:space="preserve">• </w:t>
      </w:r>
      <w:r>
        <w:rPr>
          <w:rFonts w:ascii="Cambria" w:hAnsi="Cambria"/>
          <w:color w:val="000000"/>
        </w:rPr>
        <w:t xml:space="preserve">  The system shall operate primarily as an offline, Linux-based solution.</w:t>
      </w:r>
    </w:p>
    <w:p>
      <w:pPr>
        <w:pStyle w:val="SRSNormal"/>
      </w:pPr>
      <w:r>
        <w:t xml:space="preserve">• </w:t>
      </w:r>
      <w:r>
        <w:rPr>
          <w:rFonts w:ascii="Cambria" w:hAnsi="Cambria"/>
          <w:color w:val="000000"/>
        </w:rPr>
        <w:t xml:space="preserve">  The system provider shall supply all necessary hardware components, including dedicated devices or servers deployed on the client's premises.</w:t>
      </w:r>
    </w:p>
    <w:p>
      <w:pPr>
        <w:pStyle w:val="SRSNormal"/>
      </w:pPr>
      <w:r>
        <w:t xml:space="preserve">• </w:t>
      </w:r>
      <w:r>
        <w:rPr>
          <w:rFonts w:ascii="Cambria" w:hAnsi="Cambria"/>
          <w:color w:val="000000"/>
        </w:rPr>
        <w:t xml:space="preserve">  The system shall include scalable hardware configurations to accommodate varying levels of user concurrency and data volume.</w:t>
      </w:r>
    </w:p>
    <w:p>
      <w:pPr>
        <w:pStyle w:val="SRSNormal"/>
      </w:pPr>
      <w:r>
        <w:t xml:space="preserve">• </w:t>
      </w:r>
      <w:r>
        <w:rPr>
          <w:rFonts w:ascii="Cambria" w:hAnsi="Cambria"/>
          <w:color w:val="000000"/>
        </w:rPr>
        <w:t xml:space="preserve">  A base hardware package shall support 1 to 5 concurrent users, with modular upgrades available for higher user counts (e.g., 5-20 users, 20-50 users, up to 100+ users).</w:t>
      </w:r>
    </w:p>
    <w:p>
      <w:pPr>
        <w:pStyle w:val="SRSNormal"/>
      </w:pPr>
      <w:r>
        <w:t xml:space="preserve">• </w:t>
      </w:r>
      <w:r>
        <w:rPr>
          <w:rFonts w:ascii="Cambria" w:hAnsi="Cambria"/>
          <w:color w:val="000000"/>
        </w:rPr>
        <w:t xml:space="preserve">  The hardware specifications shall include customizable GPU power and storage capacity based on selected modules and usage.</w:t>
      </w:r>
    </w:p>
    <w:p>
      <w:pPr>
        <w:pStyle w:val="SRSNormal"/>
      </w:pPr>
      <w:r>
        <w:t xml:space="preserve">• </w:t>
      </w:r>
      <w:r>
        <w:rPr>
          <w:rFonts w:ascii="Cambria" w:hAnsi="Cambria"/>
          <w:color w:val="000000"/>
        </w:rPr>
        <w:t xml:space="preserve">  The system shall leverage optimized local hardware for AI processing to ensure speed and responsiveness.</w:t>
      </w:r>
    </w:p>
    <w:p>
      <w:pPr>
        <w:pStyle w:val="SRSNormal"/>
      </w:pPr>
      <w:r>
        <w:t xml:space="preserve">• </w:t>
      </w:r>
      <w:r>
        <w:rPr>
          <w:rFonts w:ascii="Cambria" w:hAnsi="Cambria"/>
          <w:color w:val="000000"/>
        </w:rPr>
        <w:t xml:space="preserve">  The system shall not require any additional licensing for its operating system.</w:t>
      </w:r>
    </w:p>
    <w:p>
      <w:pPr>
        <w:pStyle w:val="SRSNormal"/>
      </w:pPr>
      <w:r>
        <w:t xml:space="preserve">• </w:t>
      </w:r>
      <w:r>
        <w:rPr>
          <w:rFonts w:ascii="Cambria" w:hAnsi="Cambria"/>
          <w:color w:val="000000"/>
        </w:rPr>
        <w:t xml:space="preserve">  The system shall utilize a secondary, small-form-factor device to securely facilitate data synchronization with cloud-based MIS/LMS systems, if required, ensuring the primary system remains offline. This device shall function as a read-only data receiver.</w:t>
      </w:r>
    </w:p>
    <w:p>
      <w:pPr>
        <w:pStyle w:val="SRSNormal"/>
      </w:pPr>
      <w:r>
        <w:t xml:space="preserve">• </w:t>
      </w:r>
      <w:r>
        <w:rPr>
          <w:rFonts w:ascii="Cambria" w:hAnsi="Cambria"/>
          <w:color w:val="000000"/>
        </w:rPr>
        <w:t xml:space="preserve">  The system shall integrate with existing school storage solutions (e.g., network drives, SharePoint, Google Workspace via export) for source documents, rather than providing new mass storage.</w:t>
      </w:r>
    </w:p>
    <w:p>
      <w:pPr>
        <w:pStyle w:val="SRSNormal"/>
      </w:pPr>
      <w:r>
        <w:t xml:space="preserve">• </w:t>
      </w:r>
      <w:r>
        <w:rPr>
          <w:rFonts w:ascii="Cambria" w:hAnsi="Cambria"/>
          <w:color w:val="000000"/>
        </w:rPr>
        <w:t xml:space="preserve">  The system shall support a central knowledge base for shared resources accessible by all authorized users.</w:t>
      </w:r>
    </w:p>
    <w:p>
      <w:pPr>
        <w:pStyle w:val="SRSNormal"/>
      </w:pPr>
      <w:r>
        <w:t xml:space="preserve">• </w:t>
      </w:r>
      <w:r>
        <w:rPr>
          <w:rFonts w:ascii="Cambria" w:hAnsi="Cambria"/>
          <w:color w:val="000000"/>
        </w:rPr>
        <w:t xml:space="preserve">  The system shall provide individual, volatile memory (vector stores) for personalized teacher content, which shall be combinable with the central knowledge base.</w:t>
      </w:r>
    </w:p>
    <w:p>
      <w:pPr>
        <w:pStyle w:val="SRSNormal"/>
      </w:pPr>
      <w:r>
        <w:t xml:space="preserve">• </w:t>
      </w:r>
      <w:r>
        <w:rPr>
          <w:rFonts w:ascii="Cambria" w:hAnsi="Cambria"/>
          <w:color w:val="000000"/>
        </w:rPr>
        <w:t xml:space="preserve">  The system shall implement storage limitations, with a tentative allocation of 10 GB per subject and 2 GB per teacher for learning materials.</w:t>
      </w:r>
    </w:p>
    <w:p>
      <w:pPr>
        <w:pStyle w:val="SRSNormal"/>
      </w:pPr>
      <w:r>
        <w:t xml:space="preserve">• </w:t>
      </w:r>
      <w:r>
        <w:rPr>
          <w:rFonts w:ascii="Cambria" w:hAnsi="Cambria"/>
          <w:color w:val="000000"/>
        </w:rPr>
        <w:t xml:space="preserve">  The system shall prevent further document uploads when the school's allocated storage capacity approaches a predefined threshold (e.g., 45 GB out of 50 GB).</w:t>
      </w:r>
    </w:p>
    <w:p>
      <w:pPr>
        <w:pStyle w:val="SRSNormal"/>
      </w:pPr>
      <w:r>
        <w:t xml:space="preserve">• </w:t>
      </w:r>
      <w:r>
        <w:rPr>
          <w:rFonts w:ascii="Cambria" w:hAnsi="Cambria"/>
          <w:color w:val="000000"/>
        </w:rPr>
        <w:t xml:space="preserve">  The system shall enforce a per-document upload size limit, initially set at 150 MB, and shall incorporate compression algorithms for large PDF documents during ingestion.</w:t>
      </w:r>
    </w:p>
    <w:p>
      <w:pPr>
        <w:pStyle w:val="SRSNormal"/>
      </w:pPr>
      <w:r>
        <w:t xml:space="preserve">• </w:t>
      </w:r>
      <w:r>
        <w:rPr>
          <w:rFonts w:ascii="Cambria" w:hAnsi="Cambria"/>
          <w:color w:val="000000"/>
        </w:rPr>
        <w:t xml:space="preserve">  The system shall support scheduled data processing for uploaded content to optimize compute resource utilization, with real-time processing available for critical functions.</w:t>
      </w:r>
    </w:p>
    <w:p>
      <w:pPr>
        <w:pStyle w:val="SRSNormal"/>
      </w:pPr>
      <w:r>
        <w:t xml:space="preserve">• </w:t>
      </w:r>
      <w:r>
        <w:rPr>
          <w:rFonts w:ascii="Cambria" w:hAnsi="Cambria"/>
          <w:color w:val="000000"/>
        </w:rPr>
        <w:t xml:space="preserve">  The system shall allow for license activation and software updates through a manual file transfer process or via remote access with explicit client permission.</w:t>
      </w:r>
    </w:p>
    <w:p>
      <w:pPr>
        <w:pStyle w:val="SRSNormal"/>
      </w:pPr>
      <w:r>
        <w:t xml:space="preserve">• </w:t>
      </w:r>
      <w:r>
        <w:rPr>
          <w:rFonts w:ascii="Cambria" w:hAnsi="Cambria"/>
          <w:color w:val="000000"/>
        </w:rPr>
        <w:t xml:space="preserve">  The client's IT department shall be responsible for ensuring adequate network bandwidth and internal connectivity to the system.</w:t>
      </w:r>
    </w:p>
    <w:p>
      <w:pPr>
        <w:pStyle w:val="SRSNormal"/>
      </w:pPr>
      <w:r>
        <w:t xml:space="preserve">• </w:t>
      </w:r>
      <w:r>
        <w:rPr>
          <w:rFonts w:ascii="Cambria" w:hAnsi="Cambria"/>
          <w:color w:val="000000"/>
        </w:rPr>
        <w:t xml:space="preserve">  The system shall not transmit usage data or other sensitive information externally without explicit consent and a direct, secure connection (e.g., remote access session).</w:t>
      </w:r>
    </w:p>
    <w:p>
      <w:pPr>
        <w:pStyle w:val="SRSNormal"/>
      </w:pPr>
      <w:r>
        <w:t xml:space="preserve">• </w:t>
      </w:r>
      <w:r>
        <w:rPr>
          <w:rFonts w:ascii="Cambria" w:hAnsi="Cambria"/>
          <w:color w:val="000000"/>
        </w:rPr>
        <w:t xml:space="preserve">  The Software Requirements Specification (SRS) document shall comprehensively detail the hardware architecture and recommended specifications for each use case and combination of use cases.</w:t>
      </w:r>
    </w:p>
    <w:p>
      <w:pPr>
        <w:pStyle w:val="SRSNormal"/>
      </w:pPr>
      <w:r>
        <w:t xml:space="preserve">• </w:t>
      </w:r>
      <w:r>
        <w:rPr>
          <w:rFonts w:ascii="Cambria" w:hAnsi="Cambria"/>
          <w:color w:val="000000"/>
        </w:rPr>
        <w:t xml:space="preserve">  The system shall support modular subscription models, wherein hardware capabilities and associated costs are influenced by the selected functional modules and anticipated user concurrency.</w:t>
      </w:r>
    </w:p>
    <w:p/>
    <w:p>
      <w:pPr>
        <w:pStyle w:val="SRSHeading1"/>
      </w:pPr>
      <w:r>
        <w:t>10 Acceptance Criteria</w:t>
      </w:r>
    </w:p>
    <w:p>
      <w:pPr>
        <w:pStyle w:val="SRSHeading2"/>
        <w:spacing w:after="240"/>
      </w:pPr>
      <w:r>
        <w:rPr>
          <w:rFonts w:ascii="Cambria" w:hAnsi="Cambria"/>
          <w:color w:val="4682B4"/>
        </w:rPr>
        <w:t>10.1 Acceptance Criteria</w:t>
      </w:r>
    </w:p>
    <w:p>
      <w:pPr>
        <w:pStyle w:val="SRSNormal"/>
        <w:jc w:val="both"/>
      </w:pPr>
      <w:r>
        <w:rPr>
          <w:rFonts w:ascii="Cambria" w:hAnsi="Cambria"/>
          <w:color w:val="000000"/>
        </w:rPr>
        <w:t>Acceptance of the system shall be predicated on its demonstrable capability to deliver precise, data-driven internal recommendations for school inspection readiness. The system shall provide clear and concise responses to user queries, mirroring an intuitive chat interface. Furthermore, it shall effectively generate internal reports in adaptable formats, including relevant charts and graphs, to support school leadership and administrative functions.</w:t>
      </w:r>
    </w:p>
    <w:p>
      <w:pPr>
        <w:pStyle w:val="SRSNormal"/>
      </w:pPr>
    </w:p>
    <w:p>
      <w:pPr>
        <w:pStyle w:val="SRSNormal"/>
        <w:jc w:val="both"/>
      </w:pPr>
      <w:r>
        <w:rPr>
          <w:rFonts w:ascii="Cambria" w:hAnsi="Cambria"/>
          <w:color w:val="000000"/>
        </w:rPr>
        <w:t>The system shall accurately identify and articulate weaknesses based on uploaded inspection frameworks and school-specific data. Crucially, its Retrieval-Augmented Generation (RAG) system shall process and leverage diverse internal data sources to provide comprehensive analytical insights. Final acceptance shall require the system's proven ability to enhance school efficiency and aid decision-making processes, as validated through preliminary beta testing within target school environments.</w:t>
      </w:r>
    </w:p>
    <w:p/>
    <w:p>
      <w:pPr>
        <w:pStyle w:val="SRSHeading1"/>
      </w:pPr>
      <w:r>
        <w:t>11 Product Future</w:t>
      </w:r>
    </w:p>
    <w:p>
      <w:pPr>
        <w:pStyle w:val="SRSHeading2"/>
        <w:spacing w:after="240"/>
      </w:pPr>
      <w:r>
        <w:rPr>
          <w:rFonts w:ascii="Cambria" w:hAnsi="Cambria"/>
          <w:color w:val="4682B4"/>
        </w:rPr>
        <w:t>11.1 Product Future</w:t>
      </w:r>
    </w:p>
    <w:p>
      <w:pPr>
        <w:pStyle w:val="SRSNormal"/>
        <w:jc w:val="both"/>
      </w:pPr>
      <w:r>
        <w:rPr>
          <w:rFonts w:ascii="Cambria" w:hAnsi="Cambria"/>
          <w:color w:val="000000"/>
        </w:rPr>
        <w:t>The system's initial market strategy shall prioritize rapid deployment of a Minimum Viable Product (MVP) focused on the offline device model. This approach ensures immediate market entry for the core AI-driven functionalities. The system shall employ a modular architecture, enabling the independent deployment and activation of various use cases. Hardware specifications shall scale in tiers, directly correlating with anticipated user concurrency and data volume, which in turn shall determine subscription levels and associated costs.</w:t>
      </w:r>
    </w:p>
    <w:p>
      <w:pPr>
        <w:pStyle w:val="SRSNormal"/>
      </w:pPr>
    </w:p>
    <w:p>
      <w:pPr>
        <w:pStyle w:val="SRSNormal"/>
        <w:jc w:val="both"/>
      </w:pPr>
      <w:r>
        <w:rPr>
          <w:rFonts w:ascii="Cambria" w:hAnsi="Cambria"/>
          <w:color w:val="000000"/>
        </w:rPr>
        <w:t>Future iterations of the product shall encompass multi-tenancy cloud offerings, expanding market reach beyond the initial offline focus. The system shall pursue direct API integrations with education authorities, allowing for streamlined data ingestion and the potential for top-down adoption mandates. Beyond education, the underlying AI framework shall be adaptable for new verticals, including financial auditing and manufacturing anomaly detection, leveraging the established modular design. Data retention policies shall define automated deletion protocols upon subscription expiry, ensuring compliance and data management.</w:t>
      </w:r>
    </w:p>
    <w:p/>
    <w:p>
      <w:pPr>
        <w:pStyle w:val="SRSHeading1"/>
      </w:pPr>
      <w:r>
        <w:t>12 Open Queries</w:t>
      </w:r>
    </w:p>
    <w:p>
      <w:pPr>
        <w:pStyle w:val="SRSHeading2"/>
        <w:spacing w:after="240"/>
      </w:pPr>
      <w:r>
        <w:rPr>
          <w:rFonts w:ascii="Cambria" w:hAnsi="Cambria"/>
          <w:color w:val="4682B4"/>
        </w:rPr>
        <w:t>12.1 Open Queries</w:t>
      </w:r>
    </w:p>
    <w:p>
      <w:pPr>
        <w:pStyle w:val="SRSNormal"/>
        <w:jc w:val="both"/>
      </w:pPr>
      <w:r>
        <w:rPr>
          <w:rFonts w:ascii="Cambria" w:hAnsi="Cambria"/>
          <w:color w:val="000000"/>
        </w:rPr>
        <w:t>Error generating content for 'Open Queries':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58</w:t>
      </w:r>
    </w:p>
    <w:p>
      <w:pPr>
        <w:pStyle w:val="SRSNormal"/>
        <w:jc w:val="both"/>
      </w:pPr>
      <w:r>
        <w:rPr>
          <w:rFonts w:ascii="Cambria" w:hAnsi="Cambria"/>
          <w:color w:val="000000"/>
        </w:rPr>
        <w:t>}</w:t>
      </w:r>
    </w:p>
    <w:p>
      <w:pPr>
        <w:pStyle w:val="SRSNormal"/>
        <w:jc w:val="both"/>
      </w:pPr>
      <w:r>
        <w:rPr>
          <w:rFonts w:ascii="Cambria" w:hAnsi="Cambria"/>
          <w:color w:val="000000"/>
        </w:rPr>
        <w:t>]</w:t>
      </w:r>
    </w:p>
    <w:p/>
    <w:sectPr w:rsidR="00FC693F" w:rsidRPr="0006063C" w:rsidSect="00034616">
      <w:headerReference w:type="default" r:id="rId9"/>
      <w:footerReference w:type="default" r:id="rId10"/>
      <w:footerReference w:type="first" r:id="rId11"/>
      <w:footerReference w:type="even" r:id="rId12"/>
      <w:pgSz w:w="12240" w:h="15840"/>
      <w:pgMar w:top="1440" w:right="1800" w:bottom="1440" w:left="1800"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spacing w:before="0" w:after="0"/>
      <w:ind w:left="-1134" w:right="-1134" w:firstLine="0"/>
    </w:pPr>
    <w:r>
      <w:rPr>
        <w:rFonts w:ascii="Cambria" w:hAnsi="Cambria"/>
        <w:color w:val="000000"/>
        <w:sz w:val="20"/>
      </w:rPr>
      <w:t>Software Requirement Specification</w:t>
    </w:r>
    <w:r>
      <w:tab/>
    </w:r>
    <w:r>
      <w:rPr>
        <w:rFonts w:ascii="Cambria" w:hAnsi="Cambria"/>
        <w:color w:val="000000"/>
        <w:sz w:val="14"/>
      </w:rPr>
      <w:t xml:space="preserve">Page </w:t>
    </w:r>
    <w:r>
      <w:rPr>
        <w:rFonts w:ascii="Cambria" w:hAnsi="Cambria"/>
        <w:color w:val="000000"/>
        <w:sz w:val="14"/>
      </w:rPr>
      <w:fldChar w:fldCharType="begin"/>
      <w:instrText>PAGE</w:instrText>
      <w:fldChar w:fldCharType="separate"/>
      <w:fldChar w:fldCharType="end"/>
    </w:r>
    <w:r>
      <w:rPr>
        <w:rFonts w:ascii="Cambria" w:hAnsi="Cambria"/>
        <w:color w:val="000000"/>
        <w:sz w:val="14"/>
      </w:rPr>
      <w:t xml:space="preserve"> of </w:t>
    </w:r>
    <w:r>
      <w:rPr>
        <w:rFonts w:ascii="Cambria" w:hAnsi="Cambria"/>
        <w:color w:val="000000"/>
        <w:sz w:val="14"/>
      </w:rPr>
      <w:fldChar w:fldCharType="begin"/>
      <w:instrText>NUMPAGES</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spacing w:before="0" w:after="0"/>
      <w:ind w:left="-1134" w:right="-1134" w:firstLine="0"/>
    </w:pPr>
    <w:r>
      <w:rPr>
        <w:rFonts w:ascii="Cambria" w:hAnsi="Cambria"/>
        <w:color w:val="000000"/>
        <w:sz w:val="20"/>
      </w:rPr>
      <w:t>Software Requirement Specification</w:t>
    </w:r>
    <w:r>
      <w:tab/>
    </w:r>
    <w:r>
      <w:rPr>
        <w:rFonts w:ascii="Cambria" w:hAnsi="Cambria"/>
        <w:color w:val="000000"/>
        <w:sz w:val="14"/>
      </w:rPr>
      <w:t xml:space="preserve">Page </w:t>
    </w:r>
    <w:r>
      <w:rPr>
        <w:rFonts w:ascii="Cambria" w:hAnsi="Cambria"/>
        <w:color w:val="000000"/>
        <w:sz w:val="14"/>
      </w:rPr>
      <w:fldChar w:fldCharType="begin"/>
      <w:instrText>PAGE</w:instrText>
      <w:fldChar w:fldCharType="separate"/>
      <w:fldChar w:fldCharType="end"/>
    </w:r>
    <w:r>
      <w:rPr>
        <w:rFonts w:ascii="Cambria" w:hAnsi="Cambria"/>
        <w:color w:val="000000"/>
        <w:sz w:val="14"/>
      </w:rPr>
      <w:t xml:space="preserve"> of </w:t>
    </w:r>
    <w:r>
      <w:rPr>
        <w:rFonts w:ascii="Cambria" w:hAnsi="Cambria"/>
        <w:color w:val="000000"/>
        <w:sz w:val="14"/>
      </w:rPr>
      <w:fldChar w:fldCharType="begin"/>
      <w:instrText>NUMPAGES</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spacing w:before="0" w:after="0"/>
      <w:ind w:left="-1134" w:right="-1134" w:firstLine="0"/>
    </w:pPr>
    <w:r>
      <w:rPr>
        <w:rFonts w:ascii="Cambria" w:hAnsi="Cambria"/>
        <w:color w:val="000000"/>
        <w:sz w:val="20"/>
      </w:rPr>
      <w:t>Software Requirement Specification</w:t>
    </w:r>
    <w:r>
      <w:tab/>
    </w:r>
    <w:r>
      <w:rPr>
        <w:rFonts w:ascii="Cambria" w:hAnsi="Cambria"/>
        <w:color w:val="000000"/>
        <w:sz w:val="14"/>
      </w:rPr>
      <w:t xml:space="preserve">Page </w:t>
    </w:r>
    <w:r>
      <w:rPr>
        <w:rFonts w:ascii="Cambria" w:hAnsi="Cambria"/>
        <w:color w:val="000000"/>
        <w:sz w:val="14"/>
      </w:rPr>
      <w:fldChar w:fldCharType="begin"/>
      <w:instrText>PAGE</w:instrText>
      <w:fldChar w:fldCharType="separate"/>
      <w:fldChar w:fldCharType="end"/>
    </w:r>
    <w:r>
      <w:rPr>
        <w:rFonts w:ascii="Cambria" w:hAnsi="Cambria"/>
        <w:color w:val="000000"/>
        <w:sz w:val="14"/>
      </w:rPr>
      <w:t xml:space="preserve"> of </w:t>
    </w:r>
    <w:r>
      <w:rPr>
        <w:rFonts w:ascii="Cambria" w:hAnsi="Cambria"/>
        <w:color w:val="000000"/>
        <w:sz w:val="14"/>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828800" cy="645917"/>
          <wp:docPr id="1" name="Picture 1"/>
          <wp:cNvGraphicFramePr>
            <a:graphicFrameLocks noChangeAspect="1"/>
          </wp:cNvGraphicFramePr>
          <a:graphic>
            <a:graphicData uri="http://schemas.openxmlformats.org/drawingml/2006/picture">
              <pic:pic>
                <pic:nvPicPr>
                  <pic:cNvPr id="0" name="srs_logo.png"/>
                  <pic:cNvPicPr/>
                </pic:nvPicPr>
                <pic:blipFill>
                  <a:blip r:embed="rId1"/>
                  <a:stretch>
                    <a:fillRect/>
                  </a:stretch>
                </pic:blipFill>
                <pic:spPr>
                  <a:xfrm>
                    <a:off x="0" y="0"/>
                    <a:ext cx="1828800" cy="64591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line="240" w:lineRule="auto"/>
      <w:jc w:val="center"/>
    </w:pPr>
    <w:rPr>
      <w:rFonts w:ascii="Cambria" w:hAnsi="Cambria"/>
      <w:b/>
      <w:color w:val="000000"/>
      <w:sz w:val="48"/>
    </w:rPr>
  </w:style>
  <w:style w:type="paragraph" w:customStyle="1" w:styleId="SRSHeading1">
    <w:name w:val="SRS Heading 1"/>
    <w:pPr>
      <w:spacing w:before="240" w:after="120" w:line="240" w:lineRule="auto"/>
    </w:pPr>
    <w:rPr>
      <w:rFonts w:ascii="Cambria" w:hAnsi="Cambria"/>
      <w:b/>
      <w:color w:val="4682B4"/>
      <w:sz w:val="32"/>
    </w:rPr>
  </w:style>
  <w:style w:type="paragraph" w:customStyle="1" w:styleId="SRSHeading2">
    <w:name w:val="SRS Heading 2"/>
    <w:pPr>
      <w:spacing w:before="200" w:after="120" w:line="240" w:lineRule="auto"/>
    </w:pPr>
    <w:rPr>
      <w:rFonts w:ascii="Cambria" w:hAnsi="Cambria"/>
      <w:b/>
      <w:color w:val="4682B4"/>
      <w:sz w:val="28"/>
    </w:rPr>
  </w:style>
  <w:style w:type="paragraph" w:customStyle="1" w:styleId="SRSHeading3">
    <w:name w:val="SRS Heading 3"/>
    <w:pPr>
      <w:spacing w:before="160" w:after="80" w:line="240" w:lineRule="auto"/>
    </w:pPr>
    <w:rPr>
      <w:rFonts w:ascii="Cambria" w:hAnsi="Cambria"/>
      <w:b/>
      <w:color w:val="4682B4"/>
      <w:sz w:val="24"/>
    </w:rPr>
  </w:style>
  <w:style w:type="paragraph" w:customStyle="1" w:styleId="SRSNormal">
    <w:name w:val="SRS Normal"/>
    <w:pPr>
      <w:spacing w:after="120" w:line="240" w:lineRule="auto"/>
      <w:jc w:val="both"/>
    </w:pPr>
    <w:rPr>
      <w:rFonts w:ascii="Cambria" w:hAnsi="Cambria"/>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