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Stakeholders</w:t>
      </w:r>
    </w:p>
    <w:p>
      <w:pPr>
        <w:pStyle w:val="SRSNormal"/>
        <w:ind w:left="720"/>
      </w:pPr>
      <w:r>
        <w:t>1.2 Document Purpose</w:t>
      </w:r>
    </w:p>
    <w:p>
      <w:r>
        <w:br w:type="page"/>
      </w:r>
    </w:p>
    <w:p>
      <w:pPr>
        <w:pStyle w:val="SRSHeading1"/>
      </w:pPr>
      <w:r>
        <w:t>1 Introduction</w:t>
      </w:r>
    </w:p>
    <w:p>
      <w:pPr>
        <w:pStyle w:val="SRSHeading2"/>
        <w:spacing w:after="240"/>
      </w:pPr>
      <w:r>
        <w:rPr>
          <w:rFonts w:ascii="Cambria" w:hAnsi="Cambria"/>
          <w:color w:val="4682B4"/>
        </w:rPr>
        <w:t>1.1 Project Stakeholders</w:t>
      </w:r>
    </w:p>
    <w:p>
      <w:pPr>
        <w:pStyle w:val="SRSNormal"/>
      </w:pPr>
    </w:p>
    <w:p>
      <w:pPr>
        <w:pStyle w:val="SRSNormal"/>
        <w:jc w:val="left"/>
      </w:pPr>
      <w:r>
        <w:rPr>
          <w:rFonts w:ascii="Cambria" w:hAnsi="Cambria"/>
          <w:b/>
          <w:color w:val="000000"/>
        </w:rPr>
        <w:t>The following table identifies the project stakeholders and their respective roles:</w:t>
      </w:r>
    </w:p>
    <w:p>
      <w:pPr>
        <w:pStyle w:val="SRSNormal"/>
      </w:pP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
              <w:rPr>
                <w:rFonts w:ascii="Cambria" w:hAnsi="Cambria"/>
                <w:b/>
                <w:color w:val="000000"/>
              </w:rPr>
              <w:t>Stakeholder</w:t>
            </w:r>
          </w:p>
        </w:tc>
        <w:tc>
          <w:tcPr>
            <w:tcW w:type="dxa" w:w="2880"/>
          </w:tcPr>
          <w:p>
            <w:r/>
            <w:r>
              <w:rPr>
                <w:rFonts w:ascii="Cambria" w:hAnsi="Cambria"/>
                <w:b/>
                <w:color w:val="000000"/>
              </w:rPr>
              <w:t>Role</w:t>
            </w:r>
          </w:p>
        </w:tc>
        <w:tc>
          <w:tcPr>
            <w:tcW w:type="dxa" w:w="2880"/>
          </w:tcPr>
          <w:p>
            <w:r/>
            <w:r>
              <w:rPr>
                <w:rFonts w:ascii="Cambria" w:hAnsi="Cambria"/>
                <w:b/>
                <w:color w:val="000000"/>
              </w:rPr>
              <w:t>Segmentation</w:t>
            </w:r>
          </w:p>
        </w:tc>
      </w:tr>
      <w:tr>
        <w:tc>
          <w:tcPr>
            <w:tcW w:type="dxa" w:w="2880"/>
          </w:tcPr>
          <w:p>
            <w:pPr>
              <w:jc w:val="left"/>
            </w:pPr>
            <w:r/>
            <w:r>
              <w:rPr>
                <w:rFonts w:ascii="Cambria" w:hAnsi="Cambria"/>
                <w:color w:val="000000"/>
              </w:rPr>
              <w:t>Riza Kaya</w:t>
            </w:r>
          </w:p>
        </w:tc>
        <w:tc>
          <w:tcPr>
            <w:tcW w:type="dxa" w:w="2880"/>
          </w:tcPr>
          <w:p>
            <w:pPr>
              <w:jc w:val="left"/>
            </w:pPr>
            <w:r/>
            <w:r>
              <w:rPr>
                <w:rFonts w:ascii="Cambria" w:hAnsi="Cambria"/>
                <w:color w:val="000000"/>
              </w:rPr>
              <w:t>Client Representative, Product Owner</w:t>
            </w:r>
          </w:p>
        </w:tc>
        <w:tc>
          <w:tcPr>
            <w:tcW w:type="dxa" w:w="2880"/>
          </w:tcPr>
          <w:p>
            <w:pPr>
              <w:jc w:val="left"/>
            </w:pPr>
            <w:r/>
            <w:r>
              <w:rPr>
                <w:rFonts w:ascii="Cambria" w:hAnsi="Cambria"/>
                <w:color w:val="000000"/>
              </w:rPr>
              <w:t>MIS Consulting</w:t>
            </w:r>
          </w:p>
        </w:tc>
      </w:tr>
      <w:tr>
        <w:tc>
          <w:tcPr>
            <w:tcW w:type="dxa" w:w="2880"/>
          </w:tcPr>
          <w:p>
            <w:pPr>
              <w:jc w:val="left"/>
            </w:pPr>
            <w:r/>
            <w:r>
              <w:rPr>
                <w:rFonts w:ascii="Cambria" w:hAnsi="Cambria"/>
                <w:color w:val="000000"/>
              </w:rPr>
              <w:t>School Leadership</w:t>
            </w:r>
          </w:p>
        </w:tc>
        <w:tc>
          <w:tcPr>
            <w:tcW w:type="dxa" w:w="2880"/>
          </w:tcPr>
          <w:p>
            <w:pPr>
              <w:jc w:val="left"/>
            </w:pPr>
            <w:r/>
            <w:r>
              <w:rPr>
                <w:rFonts w:ascii="Cambria" w:hAnsi="Cambria"/>
                <w:color w:val="000000"/>
              </w:rPr>
              <w:t>End User, Decision Maker</w:t>
            </w:r>
          </w:p>
        </w:tc>
        <w:tc>
          <w:tcPr>
            <w:tcW w:type="dxa" w:w="2880"/>
          </w:tcPr>
          <w:p>
            <w:pPr>
              <w:jc w:val="left"/>
            </w:pPr>
            <w:r/>
            <w:r>
              <w:rPr>
                <w:rFonts w:ascii="Cambria" w:hAnsi="Cambria"/>
                <w:color w:val="000000"/>
              </w:rPr>
              <w:t>Education Sector</w:t>
            </w:r>
          </w:p>
        </w:tc>
      </w:tr>
      <w:tr>
        <w:tc>
          <w:tcPr>
            <w:tcW w:type="dxa" w:w="2880"/>
          </w:tcPr>
          <w:p>
            <w:pPr>
              <w:jc w:val="left"/>
            </w:pPr>
            <w:r/>
            <w:r>
              <w:rPr>
                <w:rFonts w:ascii="Cambria" w:hAnsi="Cambria"/>
                <w:color w:val="000000"/>
              </w:rPr>
              <w:t>School Administration Team</w:t>
            </w:r>
          </w:p>
        </w:tc>
        <w:tc>
          <w:tcPr>
            <w:tcW w:type="dxa" w:w="2880"/>
          </w:tcPr>
          <w:p>
            <w:pPr>
              <w:jc w:val="left"/>
            </w:pPr>
            <w:r/>
            <w:r>
              <w:rPr>
                <w:rFonts w:ascii="Cambria" w:hAnsi="Cambria"/>
                <w:color w:val="000000"/>
              </w:rPr>
              <w:t>End User, System Administrator</w:t>
            </w:r>
          </w:p>
        </w:tc>
        <w:tc>
          <w:tcPr>
            <w:tcW w:type="dxa" w:w="2880"/>
          </w:tcPr>
          <w:p>
            <w:pPr>
              <w:jc w:val="left"/>
            </w:pPr>
            <w:r/>
            <w:r>
              <w:rPr>
                <w:rFonts w:ascii="Cambria" w:hAnsi="Cambria"/>
                <w:color w:val="000000"/>
              </w:rPr>
              <w:t>Education Sector</w:t>
            </w:r>
          </w:p>
        </w:tc>
      </w:tr>
      <w:tr>
        <w:tc>
          <w:tcPr>
            <w:tcW w:type="dxa" w:w="2880"/>
          </w:tcPr>
          <w:p>
            <w:pPr>
              <w:jc w:val="left"/>
            </w:pPr>
            <w:r/>
            <w:r>
              <w:rPr>
                <w:rFonts w:ascii="Cambria" w:hAnsi="Cambria"/>
                <w:color w:val="000000"/>
              </w:rPr>
              <w:t>Teachers</w:t>
            </w:r>
          </w:p>
        </w:tc>
        <w:tc>
          <w:tcPr>
            <w:tcW w:type="dxa" w:w="2880"/>
          </w:tcPr>
          <w:p>
            <w:pPr>
              <w:jc w:val="left"/>
            </w:pPr>
            <w:r/>
            <w:r>
              <w:rPr>
                <w:rFonts w:ascii="Cambria" w:hAnsi="Cambria"/>
                <w:color w:val="000000"/>
              </w:rPr>
              <w:t>End User</w:t>
            </w:r>
          </w:p>
        </w:tc>
        <w:tc>
          <w:tcPr>
            <w:tcW w:type="dxa" w:w="2880"/>
          </w:tcPr>
          <w:p>
            <w:pPr>
              <w:jc w:val="left"/>
            </w:pPr>
            <w:r/>
            <w:r>
              <w:rPr>
                <w:rFonts w:ascii="Cambria" w:hAnsi="Cambria"/>
                <w:color w:val="000000"/>
              </w:rPr>
              <w:t>Education Sector, Academic</w:t>
            </w:r>
          </w:p>
        </w:tc>
      </w:tr>
      <w:tr>
        <w:tc>
          <w:tcPr>
            <w:tcW w:type="dxa" w:w="2880"/>
          </w:tcPr>
          <w:p>
            <w:pPr>
              <w:jc w:val="left"/>
            </w:pPr>
            <w:r/>
            <w:r>
              <w:rPr>
                <w:rFonts w:ascii="Cambria" w:hAnsi="Cambria"/>
                <w:color w:val="000000"/>
              </w:rPr>
              <w:t>Students</w:t>
            </w:r>
          </w:p>
        </w:tc>
        <w:tc>
          <w:tcPr>
            <w:tcW w:type="dxa" w:w="2880"/>
          </w:tcPr>
          <w:p>
            <w:pPr>
              <w:jc w:val="left"/>
            </w:pPr>
            <w:r/>
            <w:r>
              <w:rPr>
                <w:rFonts w:ascii="Cambria" w:hAnsi="Cambria"/>
                <w:color w:val="000000"/>
              </w:rPr>
              <w:t>End User</w:t>
            </w:r>
          </w:p>
        </w:tc>
        <w:tc>
          <w:tcPr>
            <w:tcW w:type="dxa" w:w="2880"/>
          </w:tcPr>
          <w:p>
            <w:pPr>
              <w:jc w:val="left"/>
            </w:pPr>
            <w:r/>
            <w:r>
              <w:rPr>
                <w:rFonts w:ascii="Cambria" w:hAnsi="Cambria"/>
                <w:color w:val="000000"/>
              </w:rPr>
              <w:t>Education Sector, Academic</w:t>
            </w:r>
          </w:p>
        </w:tc>
      </w:tr>
      <w:tr>
        <w:tc>
          <w:tcPr>
            <w:tcW w:type="dxa" w:w="2880"/>
          </w:tcPr>
          <w:p>
            <w:pPr>
              <w:jc w:val="left"/>
            </w:pPr>
            <w:r/>
            <w:r>
              <w:rPr>
                <w:rFonts w:ascii="Cambria" w:hAnsi="Cambria"/>
                <w:color w:val="000000"/>
              </w:rPr>
              <w:t>MIS/IT System Administrators</w:t>
            </w:r>
          </w:p>
        </w:tc>
        <w:tc>
          <w:tcPr>
            <w:tcW w:type="dxa" w:w="2880"/>
          </w:tcPr>
          <w:p>
            <w:pPr>
              <w:jc w:val="left"/>
            </w:pPr>
            <w:r/>
            <w:r>
              <w:rPr>
                <w:rFonts w:ascii="Cambria" w:hAnsi="Cambria"/>
                <w:color w:val="000000"/>
              </w:rPr>
              <w:t>Technical Support, Data Integration</w:t>
            </w:r>
          </w:p>
        </w:tc>
        <w:tc>
          <w:tcPr>
            <w:tcW w:type="dxa" w:w="2880"/>
          </w:tcPr>
          <w:p>
            <w:pPr>
              <w:jc w:val="left"/>
            </w:pPr>
            <w:r/>
            <w:r>
              <w:rPr>
                <w:rFonts w:ascii="Cambria" w:hAnsi="Cambria"/>
                <w:color w:val="000000"/>
              </w:rPr>
              <w:t>Education Sector, Technical</w:t>
            </w:r>
          </w:p>
        </w:tc>
      </w:tr>
      <w:tr>
        <w:tc>
          <w:tcPr>
            <w:tcW w:type="dxa" w:w="2880"/>
          </w:tcPr>
          <w:p>
            <w:pPr>
              <w:jc w:val="left"/>
            </w:pPr>
            <w:r/>
            <w:r>
              <w:rPr>
                <w:rFonts w:ascii="Cambria" w:hAnsi="Cambria"/>
                <w:color w:val="000000"/>
              </w:rPr>
              <w:t>MSBC Group</w:t>
            </w:r>
          </w:p>
        </w:tc>
        <w:tc>
          <w:tcPr>
            <w:tcW w:type="dxa" w:w="2880"/>
          </w:tcPr>
          <w:p>
            <w:pPr>
              <w:jc w:val="left"/>
            </w:pPr>
            <w:r/>
            <w:r>
              <w:rPr>
                <w:rFonts w:ascii="Cambria" w:hAnsi="Cambria"/>
                <w:color w:val="000000"/>
              </w:rPr>
              <w:t>Development Team</w:t>
            </w:r>
          </w:p>
        </w:tc>
        <w:tc>
          <w:tcPr>
            <w:tcW w:type="dxa" w:w="2880"/>
          </w:tcPr>
          <w:p>
            <w:pPr>
              <w:jc w:val="left"/>
            </w:pPr>
            <w:r/>
            <w:r>
              <w:rPr>
                <w:rFonts w:ascii="Cambria" w:hAnsi="Cambria"/>
                <w:color w:val="000000"/>
              </w:rPr>
              <w:t>Technology Services</w:t>
            </w:r>
          </w:p>
        </w:tc>
      </w:tr>
      <w:tr>
        <w:tc>
          <w:tcPr>
            <w:tcW w:type="dxa" w:w="2880"/>
          </w:tcPr>
          <w:p>
            <w:pPr>
              <w:jc w:val="left"/>
            </w:pPr>
            <w:r/>
            <w:r>
              <w:rPr>
                <w:rFonts w:ascii="Cambria" w:hAnsi="Cambria"/>
                <w:color w:val="000000"/>
              </w:rPr>
              <w:t>MSBC UI/UX Designers (Aesha &amp; Ishika)</w:t>
            </w:r>
          </w:p>
        </w:tc>
        <w:tc>
          <w:tcPr>
            <w:tcW w:type="dxa" w:w="2880"/>
          </w:tcPr>
          <w:p>
            <w:pPr>
              <w:jc w:val="left"/>
            </w:pPr>
            <w:r/>
            <w:r>
              <w:rPr>
                <w:rFonts w:ascii="Cambria" w:hAnsi="Cambria"/>
                <w:color w:val="000000"/>
              </w:rPr>
              <w:t>Interface Design &amp; Usability</w:t>
            </w:r>
          </w:p>
        </w:tc>
        <w:tc>
          <w:tcPr>
            <w:tcW w:type="dxa" w:w="2880"/>
          </w:tcPr>
          <w:p>
            <w:pPr>
              <w:jc w:val="left"/>
            </w:pPr>
            <w:r/>
            <w:r>
              <w:rPr>
                <w:rFonts w:ascii="Cambria" w:hAnsi="Cambria"/>
                <w:color w:val="000000"/>
              </w:rPr>
              <w:t>Technology Services, Design</w:t>
            </w:r>
          </w:p>
        </w:tc>
      </w:tr>
      <w:tr>
        <w:tc>
          <w:tcPr>
            <w:tcW w:type="dxa" w:w="2880"/>
          </w:tcPr>
          <w:p>
            <w:pPr>
              <w:jc w:val="left"/>
            </w:pPr>
            <w:r/>
            <w:r>
              <w:rPr>
                <w:rFonts w:ascii="Cambria" w:hAnsi="Cambria"/>
                <w:color w:val="000000"/>
              </w:rPr>
              <w:t>MSBC Technical Team (Suhail &amp; Sahil)</w:t>
            </w:r>
          </w:p>
        </w:tc>
        <w:tc>
          <w:tcPr>
            <w:tcW w:type="dxa" w:w="2880"/>
          </w:tcPr>
          <w:p>
            <w:pPr>
              <w:jc w:val="left"/>
            </w:pPr>
            <w:r/>
            <w:r>
              <w:rPr>
                <w:rFonts w:ascii="Cambria" w:hAnsi="Cambria"/>
                <w:color w:val="000000"/>
              </w:rPr>
              <w:t>AI &amp; Backend Development, Technical Strategy</w:t>
            </w:r>
          </w:p>
        </w:tc>
        <w:tc>
          <w:tcPr>
            <w:tcW w:type="dxa" w:w="2880"/>
          </w:tcPr>
          <w:p>
            <w:pPr>
              <w:jc w:val="left"/>
            </w:pPr>
            <w:r/>
            <w:r>
              <w:rPr>
                <w:rFonts w:ascii="Cambria" w:hAnsi="Cambria"/>
                <w:color w:val="000000"/>
              </w:rPr>
              <w:t>Technology Services, Technical</w:t>
            </w:r>
          </w:p>
        </w:tc>
      </w:tr>
      <w:tr>
        <w:tc>
          <w:tcPr>
            <w:tcW w:type="dxa" w:w="2880"/>
          </w:tcPr>
          <w:p>
            <w:pPr>
              <w:jc w:val="left"/>
            </w:pPr>
            <w:r/>
            <w:r>
              <w:rPr>
                <w:rFonts w:ascii="Cambria" w:hAnsi="Cambria"/>
                <w:color w:val="000000"/>
              </w:rPr>
              <w:t>MSBC Business Analyst (Ajay)</w:t>
            </w:r>
          </w:p>
        </w:tc>
        <w:tc>
          <w:tcPr>
            <w:tcW w:type="dxa" w:w="2880"/>
          </w:tcPr>
          <w:p>
            <w:pPr>
              <w:jc w:val="left"/>
            </w:pPr>
            <w:r/>
            <w:r>
              <w:rPr>
                <w:rFonts w:ascii="Cambria" w:hAnsi="Cambria"/>
                <w:color w:val="000000"/>
              </w:rPr>
              <w:t>Business Requirement Analysis, Scrum Master</w:t>
            </w:r>
          </w:p>
        </w:tc>
        <w:tc>
          <w:tcPr>
            <w:tcW w:type="dxa" w:w="2880"/>
          </w:tcPr>
          <w:p>
            <w:pPr>
              <w:jc w:val="left"/>
            </w:pPr>
            <w:r/>
            <w:r>
              <w:rPr>
                <w:rFonts w:ascii="Cambria" w:hAnsi="Cambria"/>
                <w:color w:val="000000"/>
              </w:rPr>
              <w:t>Technology Services, Business Analysis</w:t>
            </w:r>
          </w:p>
        </w:tc>
      </w:tr>
      <w:tr>
        <w:tc>
          <w:tcPr>
            <w:tcW w:type="dxa" w:w="2880"/>
          </w:tcPr>
          <w:p>
            <w:pPr>
              <w:jc w:val="left"/>
            </w:pPr>
            <w:r/>
            <w:r>
              <w:rPr>
                <w:rFonts w:ascii="Cambria" w:hAnsi="Cambria"/>
                <w:color w:val="000000"/>
              </w:rPr>
              <w:t>Educational Board (KHDA/ADEC)</w:t>
            </w:r>
          </w:p>
        </w:tc>
        <w:tc>
          <w:tcPr>
            <w:tcW w:type="dxa" w:w="2880"/>
          </w:tcPr>
          <w:p>
            <w:pPr>
              <w:jc w:val="left"/>
            </w:pPr>
            <w:r/>
            <w:r>
              <w:rPr>
                <w:rFonts w:ascii="Cambria" w:hAnsi="Cambria"/>
                <w:color w:val="000000"/>
              </w:rPr>
              <w:t>Regulatory Body (Future)</w:t>
            </w:r>
          </w:p>
        </w:tc>
        <w:tc>
          <w:tcPr>
            <w:tcW w:type="dxa" w:w="2880"/>
          </w:tcPr>
          <w:p>
            <w:pPr>
              <w:jc w:val="left"/>
            </w:pPr>
            <w:r/>
            <w:r>
              <w:rPr>
                <w:rFonts w:ascii="Cambria" w:hAnsi="Cambria"/>
                <w:color w:val="000000"/>
              </w:rPr>
              <w:t>Government, Education Regulation</w:t>
            </w:r>
          </w:p>
        </w:tc>
      </w:tr>
      <w:tr>
        <w:tc>
          <w:tcPr>
            <w:tcW w:type="dxa" w:w="2880"/>
          </w:tcPr>
          <w:p>
            <w:pPr>
              <w:jc w:val="left"/>
            </w:pPr>
            <w:r/>
            <w:r>
              <w:rPr>
                <w:rFonts w:ascii="Cambria" w:hAnsi="Cambria"/>
                <w:color w:val="000000"/>
              </w:rPr>
              <w:t>UI/UX Review Group</w:t>
            </w:r>
          </w:p>
        </w:tc>
        <w:tc>
          <w:tcPr>
            <w:tcW w:type="dxa" w:w="2880"/>
          </w:tcPr>
          <w:p>
            <w:pPr>
              <w:jc w:val="left"/>
            </w:pPr>
            <w:r/>
            <w:r>
              <w:rPr>
                <w:rFonts w:ascii="Cambria" w:hAnsi="Cambria"/>
                <w:color w:val="000000"/>
              </w:rPr>
              <w:t>Visual and interface acceptance</w:t>
            </w:r>
          </w:p>
        </w:tc>
        <w:tc>
          <w:tcPr>
            <w:tcW w:type="dxa" w:w="2880"/>
          </w:tcPr>
          <w:p>
            <w:pPr>
              <w:jc w:val="left"/>
            </w:pPr>
            <w:r/>
            <w:r>
              <w:rPr>
                <w:rFonts w:ascii="Cambria" w:hAnsi="Cambria"/>
                <w:color w:val="000000"/>
              </w:rPr>
              <w:t>Visual and interface acceptance</w:t>
            </w:r>
          </w:p>
        </w:tc>
      </w:tr>
    </w:tbl>
    <w:p>
      <w:pPr>
        <w:pStyle w:val="SRSHeading2"/>
        <w:spacing w:after="240"/>
      </w:pPr>
      <w:r>
        <w:rPr>
          <w:rFonts w:ascii="Cambria" w:hAnsi="Cambria"/>
          <w:color w:val="4682B4"/>
        </w:rPr>
        <w:t>1.2 Document Purpose</w:t>
      </w:r>
    </w:p>
    <w:p>
      <w:pPr>
        <w:pStyle w:val="SRSHeading3"/>
      </w:pPr>
      <w:r>
        <w:rPr>
          <w:rFonts w:ascii="Cambria" w:hAnsi="Cambria"/>
          <w:color w:val="4682B4"/>
        </w:rPr>
        <w:t>Document Purpose</w:t>
      </w:r>
    </w:p>
    <w:p>
      <w:pPr>
        <w:pStyle w:val="SRSNormal"/>
      </w:pPr>
    </w:p>
    <w:p>
      <w:pPr>
        <w:pStyle w:val="SRSNormal"/>
        <w:jc w:val="both"/>
      </w:pPr>
      <w:r>
        <w:rPr>
          <w:rFonts w:ascii="Cambria" w:hAnsi="Cambria"/>
          <w:color w:val="000000"/>
        </w:rPr>
        <w:t>This Software Requirements Specification (SRS) document defines the complete requirements for the AI-Driven School Inspection Readiness System. This system is being developed to provide an internal advisory tool for school leadership and administrative staff, offering data-driven recommendations to improve inspection readiness. The primary audience for this document includes the MSBC Group development team, quality assurance testers, project managers, and client stakeholders at Kaya MIS Consulting. This SRS will serve as the blueprint for system design, development, and verification, ensuring alignment with functional and non-functional requirements. Furthermore, the SRS will be a key component of the project documentation suite, relating to the Technical Design Document which details infrastructure, platform dependencies, and hardware specifications, and will inform test plans and user manuals.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ind w:left="-1134" w:right="-1134" w:firstLine="0"/>
    </w:pPr>
    <w:r>
      <w:rPr>
        <w:rFonts w:ascii="Cambria" w:hAnsi="Cambria"/>
        <w:color w:val="000000"/>
        <w:sz w:val="20"/>
      </w:rPr>
      <w:t>Software Requirement Specification</w:t>
    </w:r>
    <w:r>
      <w:tab/>
    </w:r>
    <w:r>
      <w:rPr>
        <w:rFonts w:ascii="Cambria" w:hAnsi="Cambria"/>
        <w:color w:val="000000"/>
        <w:sz w:val="14"/>
      </w:rPr>
      <w:t xml:space="preserve">Page </w:t>
    </w:r>
    <w:r>
      <w:rPr>
        <w:rFonts w:ascii="Cambria" w:hAnsi="Cambria"/>
        <w:color w:val="000000"/>
        <w:sz w:val="14"/>
      </w:rPr>
      <w:fldChar w:fldCharType="begin"/>
      <w:instrText>PAGE</w:instrText>
      <w:fldChar w:fldCharType="separate"/>
      <w:fldChar w:fldCharType="end"/>
    </w:r>
    <w:r>
      <w:rPr>
        <w:rFonts w:ascii="Cambria" w:hAnsi="Cambria"/>
        <w:color w:val="000000"/>
        <w:sz w:val="14"/>
      </w:rPr>
      <w:t xml:space="preserve"> of </w:t>
    </w:r>
    <w:r>
      <w:rPr>
        <w:rFonts w:ascii="Cambria" w:hAnsi="Cambria"/>
        <w:color w:val="000000"/>
        <w:sz w:val="14"/>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