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Stakeholders</w:t>
      </w:r>
    </w:p>
    <w:p>
      <w:pPr>
        <w:pStyle w:val="SRSNormal"/>
      </w:pPr>
      <w:r>
        <w:rPr>
          <w:b/>
        </w:rPr>
        <w:t>2 System Requirements</w:t>
      </w:r>
    </w:p>
    <w:p>
      <w:pPr>
        <w:pStyle w:val="SRSNormal"/>
        <w:ind w:left="720"/>
      </w:pPr>
      <w:r>
        <w:t>2.1 Constraints and Limitation</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document shall delineate the core technical requirements for the proposed AI-powered call analytics platform. It shall further detail the strategic product vision, specifically for restaurant sector applications. The content herein shall serve as a foundational reference, capturing essential functional and non-functional specifications. It aims to consolidate all discussed requirements, enabling precise development planning. This document ultimately guides the initial implementation and subsequent evolutionary stages of the system.</w:t>
      </w:r>
    </w:p>
    <w:p>
      <w:pPr>
        <w:pStyle w:val="SRSHeading2"/>
        <w:spacing w:after="240"/>
      </w:pPr>
      <w:r>
        <w:rPr>
          <w:rFonts w:ascii="Cambria" w:hAnsi="Cambria"/>
          <w:color w:val="4682B4"/>
        </w:rPr>
        <w:t>1.2 Project Stakeholders</w:t>
      </w:r>
    </w:p>
    <w:p>
      <w:pPr>
        <w:pStyle w:val="SRSNormal"/>
        <w:jc w:val="left"/>
      </w:pPr>
      <w:r>
        <w:rPr>
          <w:rFonts w:ascii="Cambria" w:hAnsi="Cambria"/>
          <w:b/>
          <w:color w:val="000000"/>
        </w:rPr>
        <w:t>Project Stakeholders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Project Stakeholders Name</w:t>
            </w:r>
          </w:p>
        </w:tc>
        <w:tc>
          <w:tcPr>
            <w:tcW w:type="dxa" w:w="4320"/>
          </w:tcPr>
          <w:p>
            <w:r/>
            <w:r>
              <w:rPr>
                <w:rFonts w:ascii="Cambria" w:hAnsi="Cambria"/>
                <w:b/>
                <w:color w:val="000000"/>
              </w:rPr>
              <w:t>Their respective designation</w:t>
            </w:r>
          </w:p>
        </w:tc>
      </w:tr>
      <w:tr>
        <w:tc>
          <w:tcPr>
            <w:tcW w:type="dxa" w:w="4320"/>
          </w:tcPr>
          <w:p>
            <w:pPr>
              <w:jc w:val="left"/>
            </w:pPr>
            <w:r/>
            <w:r>
              <w:rPr>
                <w:rFonts w:ascii="Cambria" w:hAnsi="Cambria"/>
                <w:color w:val="000000"/>
              </w:rPr>
              <w:t>Joshua</w:t>
            </w:r>
          </w:p>
        </w:tc>
        <w:tc>
          <w:tcPr>
            <w:tcW w:type="dxa" w:w="4320"/>
          </w:tcPr>
          <w:p>
            <w:pPr>
              <w:jc w:val="left"/>
            </w:pPr>
            <w:r/>
            <w:r>
              <w:rPr>
                <w:rFonts w:ascii="Cambria" w:hAnsi="Cambria"/>
                <w:color w:val="000000"/>
              </w:rPr>
              <w:t>Product Lead, Playbook</w:t>
            </w:r>
          </w:p>
        </w:tc>
      </w:tr>
      <w:tr>
        <w:tc>
          <w:tcPr>
            <w:tcW w:type="dxa" w:w="4320"/>
          </w:tcPr>
          <w:p>
            <w:pPr>
              <w:jc w:val="left"/>
            </w:pPr>
            <w:r/>
            <w:r>
              <w:rPr>
                <w:rFonts w:ascii="Cambria" w:hAnsi="Cambria"/>
                <w:color w:val="000000"/>
              </w:rPr>
              <w:t>Rishan Gopal</w:t>
            </w:r>
          </w:p>
        </w:tc>
        <w:tc>
          <w:tcPr>
            <w:tcW w:type="dxa" w:w="4320"/>
          </w:tcPr>
          <w:p>
            <w:pPr>
              <w:jc w:val="left"/>
            </w:pPr>
            <w:r/>
            <w:r>
              <w:rPr>
                <w:rFonts w:ascii="Cambria" w:hAnsi="Cambria"/>
                <w:color w:val="000000"/>
              </w:rPr>
              <w:t>Technical Lead, Playbook</w:t>
            </w:r>
          </w:p>
        </w:tc>
      </w:tr>
      <w:tr>
        <w:tc>
          <w:tcPr>
            <w:tcW w:type="dxa" w:w="4320"/>
          </w:tcPr>
          <w:p>
            <w:pPr>
              <w:jc w:val="left"/>
            </w:pPr>
            <w:r/>
            <w:r>
              <w:rPr>
                <w:rFonts w:ascii="Cambria" w:hAnsi="Cambria"/>
                <w:color w:val="000000"/>
              </w:rPr>
              <w:t>Suhail Ahmed</w:t>
            </w:r>
          </w:p>
        </w:tc>
        <w:tc>
          <w:tcPr>
            <w:tcW w:type="dxa" w:w="4320"/>
          </w:tcPr>
          <w:p>
            <w:pPr>
              <w:jc w:val="left"/>
            </w:pPr>
            <w:r/>
            <w:r>
              <w:rPr>
                <w:rFonts w:ascii="Cambria" w:hAnsi="Cambria"/>
                <w:color w:val="000000"/>
              </w:rPr>
              <w:t>Project Manager, MSBC Group</w:t>
            </w:r>
          </w:p>
        </w:tc>
      </w:tr>
      <w:tr>
        <w:tc>
          <w:tcPr>
            <w:tcW w:type="dxa" w:w="4320"/>
          </w:tcPr>
          <w:p>
            <w:pPr>
              <w:jc w:val="left"/>
            </w:pPr>
            <w:r/>
            <w:r>
              <w:rPr>
                <w:rFonts w:ascii="Cambria" w:hAnsi="Cambria"/>
                <w:color w:val="000000"/>
              </w:rPr>
              <w:t>Aesha Thakkar</w:t>
            </w:r>
          </w:p>
        </w:tc>
        <w:tc>
          <w:tcPr>
            <w:tcW w:type="dxa" w:w="4320"/>
          </w:tcPr>
          <w:p>
            <w:pPr>
              <w:jc w:val="left"/>
            </w:pPr>
            <w:r/>
            <w:r>
              <w:rPr>
                <w:rFonts w:ascii="Cambria" w:hAnsi="Cambria"/>
                <w:color w:val="000000"/>
              </w:rPr>
              <w:t>UI/UX Design Lead, MSBC Group</w:t>
            </w:r>
          </w:p>
        </w:tc>
      </w:tr>
      <w:tr>
        <w:tc>
          <w:tcPr>
            <w:tcW w:type="dxa" w:w="4320"/>
          </w:tcPr>
          <w:p>
            <w:pPr>
              <w:jc w:val="left"/>
            </w:pPr>
            <w:r/>
            <w:r>
              <w:rPr>
                <w:rFonts w:ascii="Cambria" w:hAnsi="Cambria"/>
                <w:color w:val="000000"/>
              </w:rPr>
              <w:t>Sadie</w:t>
            </w:r>
          </w:p>
        </w:tc>
        <w:tc>
          <w:tcPr>
            <w:tcW w:type="dxa" w:w="4320"/>
          </w:tcPr>
          <w:p>
            <w:pPr>
              <w:jc w:val="left"/>
            </w:pPr>
            <w:r/>
            <w:r>
              <w:rPr>
                <w:rFonts w:ascii="Cambria" w:hAnsi="Cambria"/>
                <w:color w:val="000000"/>
              </w:rPr>
              <w:t>Project Coordinator, MSBC Group</w:t>
            </w:r>
          </w:p>
        </w:tc>
      </w:tr>
      <w:tr>
        <w:tc>
          <w:tcPr>
            <w:tcW w:type="dxa" w:w="4320"/>
          </w:tcPr>
          <w:p>
            <w:pPr>
              <w:jc w:val="left"/>
            </w:pPr>
            <w:r/>
            <w:r>
              <w:rPr>
                <w:rFonts w:ascii="Cambria" w:hAnsi="Cambria"/>
                <w:color w:val="000000"/>
              </w:rPr>
              <w:t>Ajay Chakrobarty</w:t>
            </w:r>
          </w:p>
        </w:tc>
        <w:tc>
          <w:tcPr>
            <w:tcW w:type="dxa" w:w="4320"/>
          </w:tcPr>
          <w:p>
            <w:pPr>
              <w:jc w:val="left"/>
            </w:pPr>
            <w:r/>
            <w:r>
              <w:rPr>
                <w:rFonts w:ascii="Cambria" w:hAnsi="Cambria"/>
                <w:color w:val="000000"/>
              </w:rPr>
              <w:t>Software Developer, MSBC Group</w:t>
            </w:r>
          </w:p>
        </w:tc>
      </w:tr>
      <w:tr>
        <w:tc>
          <w:tcPr>
            <w:tcW w:type="dxa" w:w="4320"/>
          </w:tcPr>
          <w:p>
            <w:pPr>
              <w:jc w:val="left"/>
            </w:pPr>
            <w:r/>
            <w:r>
              <w:rPr>
                <w:rFonts w:ascii="Cambria" w:hAnsi="Cambria"/>
                <w:color w:val="000000"/>
              </w:rPr>
              <w:t>Shubhi Mittal</w:t>
            </w:r>
          </w:p>
        </w:tc>
        <w:tc>
          <w:tcPr>
            <w:tcW w:type="dxa" w:w="4320"/>
          </w:tcPr>
          <w:p>
            <w:pPr>
              <w:jc w:val="left"/>
            </w:pPr>
            <w:r/>
            <w:r>
              <w:rPr>
                <w:rFonts w:ascii="Cambria" w:hAnsi="Cambria"/>
                <w:color w:val="000000"/>
              </w:rPr>
              <w:t>Software Developer, MSBC Group</w:t>
            </w:r>
          </w:p>
        </w:tc>
      </w:tr>
      <w:tr>
        <w:tc>
          <w:tcPr>
            <w:tcW w:type="dxa" w:w="4320"/>
          </w:tcPr>
          <w:p>
            <w:pPr>
              <w:jc w:val="left"/>
            </w:pPr>
            <w:r/>
            <w:r>
              <w:rPr>
                <w:rFonts w:ascii="Cambria" w:hAnsi="Cambria"/>
                <w:color w:val="000000"/>
              </w:rPr>
              <w:t>Tim</w:t>
            </w:r>
          </w:p>
        </w:tc>
        <w:tc>
          <w:tcPr>
            <w:tcW w:type="dxa" w:w="4320"/>
          </w:tcPr>
          <w:p>
            <w:pPr>
              <w:jc w:val="left"/>
            </w:pPr>
            <w:r/>
            <w:r>
              <w:rPr>
                <w:rFonts w:ascii="Cambria" w:hAnsi="Cambria"/>
                <w:color w:val="000000"/>
              </w:rPr>
              <w:t>Design Lead, Playbook</w:t>
            </w:r>
          </w:p>
        </w:tc>
      </w:tr>
      <w:tr>
        <w:tc>
          <w:tcPr>
            <w:tcW w:type="dxa" w:w="4320"/>
          </w:tcPr>
          <w:p>
            <w:pPr>
              <w:jc w:val="left"/>
            </w:pPr>
            <w:r/>
            <w:r>
              <w:rPr>
                <w:rFonts w:ascii="Cambria" w:hAnsi="Cambria"/>
                <w:color w:val="000000"/>
              </w:rPr>
              <w:t>MASH</w:t>
            </w:r>
          </w:p>
        </w:tc>
        <w:tc>
          <w:tcPr>
            <w:tcW w:type="dxa" w:w="4320"/>
          </w:tcPr>
          <w:p>
            <w:pPr>
              <w:jc w:val="left"/>
            </w:pPr>
            <w:r/>
            <w:r>
              <w:rPr>
                <w:rFonts w:ascii="Cambria" w:hAnsi="Cambria"/>
                <w:color w:val="000000"/>
              </w:rPr>
              <w:t>Legal Counsel &amp; Data Privacy Specialist</w:t>
            </w:r>
          </w:p>
        </w:tc>
      </w:tr>
    </w:tbl>
    <w:p/>
    <w:p>
      <w:pPr>
        <w:pStyle w:val="SRSHeading1"/>
      </w:pPr>
      <w:r>
        <w:t>2 System Requirements</w:t>
      </w:r>
    </w:p>
    <w:p>
      <w:pPr>
        <w:pStyle w:val="SRSHeading2"/>
        <w:spacing w:after="240"/>
      </w:pPr>
      <w:r>
        <w:rPr>
          <w:rFonts w:ascii="Cambria" w:hAnsi="Cambria"/>
          <w:color w:val="4682B4"/>
        </w:rPr>
        <w:t>2.1 Constraints and Limitation</w:t>
      </w:r>
    </w:p>
    <w:p>
      <w:pPr>
        <w:pStyle w:val="SRSNormal"/>
      </w:pPr>
      <w:r>
        <w:t xml:space="preserve">• </w:t>
      </w:r>
      <w:r>
        <w:rPr>
          <w:rFonts w:ascii="Cambria" w:hAnsi="Cambria"/>
          <w:color w:val="000000"/>
        </w:rPr>
        <w:t xml:space="preserve">  The system’s initial operational scope for the Minimum Viable Product (MVP) shall be limited to English language support. Multilingual capabilities shall be introduced in subsequent development phases.</w:t>
      </w:r>
    </w:p>
    <w:p>
      <w:pPr>
        <w:pStyle w:val="SRSNormal"/>
      </w:pPr>
      <w:r>
        <w:t xml:space="preserve">• </w:t>
      </w:r>
      <w:r>
        <w:rPr>
          <w:rFonts w:ascii="Cambria" w:hAnsi="Cambria"/>
          <w:color w:val="000000"/>
        </w:rPr>
        <w:t xml:space="preserve">  The initial deployment of the platform shall target 10 restaurants located within Dubai.</w:t>
      </w:r>
    </w:p>
    <w:p>
      <w:pPr>
        <w:pStyle w:val="SRSNormal"/>
      </w:pPr>
      <w:r>
        <w:t xml:space="preserve">• </w:t>
      </w:r>
      <w:r>
        <w:rPr>
          <w:rFonts w:ascii="Cambria" w:hAnsi="Cambria"/>
          <w:color w:val="000000"/>
        </w:rPr>
        <w:t xml:space="preserve">  The system shall be delivered as a web-only interface for the MVP. A dedicated mobile application shall constitute a future development phase.</w:t>
      </w:r>
    </w:p>
    <w:p>
      <w:pPr>
        <w:pStyle w:val="SRSNormal"/>
      </w:pPr>
      <w:r>
        <w:t xml:space="preserve">• </w:t>
      </w:r>
      <w:r>
        <w:rPr>
          <w:rFonts w:ascii="Cambria" w:hAnsi="Cambria"/>
          <w:color w:val="000000"/>
        </w:rPr>
        <w:t xml:space="preserve">  The system’s customer support functionality in the MVP shall be limited to manual live chat, without an integrated AI-powered chatbot.</w:t>
      </w:r>
    </w:p>
    <w:p>
      <w:pPr>
        <w:pStyle w:val="SRSNormal"/>
      </w:pPr>
      <w:r>
        <w:t xml:space="preserve">• </w:t>
      </w:r>
      <w:r>
        <w:rPr>
          <w:rFonts w:ascii="Cambria" w:hAnsi="Cambria"/>
          <w:color w:val="000000"/>
        </w:rPr>
        <w:t xml:space="preserve">  The system’s user onboarding and payment processes in the MVP shall be semi-automated, necessitating direct involvement from the sales team. Fully automated, self-service onboarding shall be considered for future releases.</w:t>
      </w:r>
    </w:p>
    <w:p>
      <w:pPr>
        <w:pStyle w:val="SRSNormal"/>
      </w:pPr>
      <w:r>
        <w:t xml:space="preserve">• </w:t>
      </w:r>
      <w:r>
        <w:rPr>
          <w:rFonts w:ascii="Cambria" w:hAnsi="Cambria"/>
          <w:color w:val="000000"/>
        </w:rPr>
        <w:t xml:space="preserve">  User access control within the system’s MVP shall be restricted to two primary roles: Admin (with full management capabilities, including billing and user accounts) and Regular User (with read-only access to analytics).</w:t>
      </w:r>
    </w:p>
    <w:p>
      <w:pPr>
        <w:pStyle w:val="SRSNormal"/>
      </w:pPr>
      <w:r>
        <w:t xml:space="preserve">• </w:t>
      </w:r>
      <w:r>
        <w:rPr>
          <w:rFonts w:ascii="Cambria" w:hAnsi="Cambria"/>
          <w:color w:val="000000"/>
        </w:rPr>
        <w:t xml:space="preserve">  The system shall perform transcription and analytical processing of calls exclusively post-call; real-time transcription during active conversations is not a capability for the MVP.</w:t>
      </w:r>
    </w:p>
    <w:p>
      <w:pPr>
        <w:pStyle w:val="SRSNormal"/>
      </w:pPr>
      <w:r>
        <w:t xml:space="preserve">• </w:t>
      </w:r>
      <w:r>
        <w:rPr>
          <w:rFonts w:ascii="Cambria" w:hAnsi="Cambria"/>
          <w:color w:val="000000"/>
        </w:rPr>
        <w:t xml:space="preserve">  The system shall prohibit the export of raw data in any format (e.g., Excel, CSV) to maintain data security and control. Aggregated insights and structured reports in PDF format shall be permissible for client presentations.</w:t>
      </w:r>
    </w:p>
    <w:p>
      <w:pPr>
        <w:pStyle w:val="SRSNormal"/>
      </w:pPr>
      <w:r>
        <w:t xml:space="preserve">• </w:t>
      </w:r>
      <w:r>
        <w:rPr>
          <w:rFonts w:ascii="Cambria" w:hAnsi="Cambria"/>
          <w:color w:val="000000"/>
        </w:rPr>
        <w:t xml:space="preserve">  The system shall not support direct integration with external booking systems or Point-of-Sale (POS) systems in the MVP.</w:t>
      </w:r>
    </w:p>
    <w:p>
      <w:pPr>
        <w:pStyle w:val="SRSNormal"/>
      </w:pPr>
      <w:r>
        <w:t xml:space="preserve">• </w:t>
      </w:r>
      <w:r>
        <w:rPr>
          <w:rFonts w:ascii="Cambria" w:hAnsi="Cambria"/>
          <w:color w:val="000000"/>
        </w:rPr>
        <w:t xml:space="preserve">  The system’s underlying analytical models shall employ a hybrid approach utilizing Large Language Models (LLMs) and custom databases. Initial analytical accuracy is anticipated to be approximately 70-80% and shall incrementally improve with continued data acquisition and model refinement.</w:t>
      </w:r>
    </w:p>
    <w:p>
      <w:pPr>
        <w:pStyle w:val="SRSNormal"/>
      </w:pPr>
      <w:r>
        <w:t xml:space="preserve">• </w:t>
      </w:r>
      <w:r>
        <w:rPr>
          <w:rFonts w:ascii="Cambria" w:hAnsi="Cambria"/>
          <w:color w:val="000000"/>
        </w:rPr>
        <w:t xml:space="preserve">  The system's call recording mechanism shall necessitate a three-way conferencing setup, which is an inherent architectural constraint to ensure Playbook's presence on recorded calls.</w:t>
      </w:r>
    </w:p>
    <w:p>
      <w:pPr>
        <w:pStyle w:val="SRSNormal"/>
      </w:pPr>
      <w:r>
        <w:t xml:space="preserve">• </w:t>
      </w:r>
      <w:r>
        <w:rPr>
          <w:rFonts w:ascii="Cambria" w:hAnsi="Cambria"/>
          <w:color w:val="000000"/>
        </w:rPr>
        <w:t xml:space="preserve">  The system shall not impose any requirement for Information Technology (IT) infrastructure modifications or upgrades on the client’s (restaurant’s) premises.</w:t>
      </w:r>
    </w:p>
    <w:p>
      <w:pPr>
        <w:pStyle w:val="SRSNormal"/>
      </w:pPr>
      <w:r>
        <w:t xml:space="preserve">• </w:t>
      </w:r>
      <w:r>
        <w:rPr>
          <w:rFonts w:ascii="Cambria" w:hAnsi="Cambria"/>
          <w:color w:val="000000"/>
        </w:rPr>
        <w:t xml:space="preserve">  The system’s capability to attribute call sources from a single phone number (e.g., discerning calls from a website versus Instagram) is inherently limited; unique phone numbers shall be provisioned for precise campaign tracking.</w:t>
      </w:r>
    </w:p>
    <w:p>
      <w:pPr>
        <w:pStyle w:val="SRSNormal"/>
      </w:pPr>
      <w:r>
        <w:t xml:space="preserve">• </w:t>
      </w:r>
      <w:r>
        <w:rPr>
          <w:rFonts w:ascii="Cambria" w:hAnsi="Cambria"/>
          <w:color w:val="000000"/>
        </w:rPr>
        <w:t xml:space="preserve">  The system’s pricing structure and minute/number allocation shall be directly dependent on the cost models of selected third-party call providers.</w:t>
      </w:r>
    </w:p>
    <w:p>
      <w:pPr>
        <w:pStyle w:val="SRSNormal"/>
      </w:pPr>
      <w:r>
        <w:t xml:space="preserve">• </w:t>
      </w:r>
      <w:r>
        <w:rPr>
          <w:rFonts w:ascii="Cambria" w:hAnsi="Cambria"/>
          <w:color w:val="000000"/>
        </w:rPr>
        <w:t xml:space="preserve">  The system shall not implement automated audit trails for admin actions or multi-factor authentication for admin accounts in the MVP; these security enhancements are designated for subsequent phases.</w:t>
      </w:r>
    </w:p>
    <w:p>
      <w:pPr>
        <w:pStyle w:val="SRSNormal"/>
      </w:pPr>
      <w:r>
        <w:t xml:space="preserve">• </w:t>
      </w:r>
      <w:r>
        <w:rPr>
          <w:rFonts w:ascii="Cambria" w:hAnsi="Cambria"/>
          <w:color w:val="000000"/>
        </w:rPr>
        <w:t xml:space="preserve">  The system’s data retention policy for cancelled client accounts shall be defined in accordance with data privacy regulations (e.g., UAE initially, evolving to GDPR compliance). Data may be retained for a limited period (e.g., 2-3 months) post-cancellation for potential re-engagement, excluding anonymized data retained for model training.</w:t>
      </w:r>
    </w:p>
    <w:p>
      <w:pPr>
        <w:pStyle w:val="SRSNormal"/>
      </w:pPr>
      <w:r>
        <w:t xml:space="preserve">• </w:t>
      </w:r>
      <w:r>
        <w:rPr>
          <w:rFonts w:ascii="Cambria" w:hAnsi="Cambria"/>
          <w:color w:val="000000"/>
        </w:rPr>
        <w:t xml:space="preserve">  The system shall not provide granular user control over data processing preferences if such control would impede the system's ability to deliver comprehensive analytics consistently across its user base.</w:t>
      </w:r>
    </w:p>
    <w:p>
      <w:pPr>
        <w:pStyle w:val="SRSNormal"/>
      </w:pPr>
      <w:r>
        <w:t xml:space="preserve">• </w:t>
      </w:r>
      <w:r>
        <w:rPr>
          <w:rFonts w:ascii="Cambria" w:hAnsi="Cambria"/>
          <w:color w:val="000000"/>
        </w:rPr>
        <w:t xml:space="preserve">  The system’s design and functionality shall account for a target user base that includes non-technical restaurant staff and busy marketing managers, emphasizing ease of use and minimal training requirements.</w:t>
      </w:r>
    </w:p>
    <w:p>
      <w:pPr>
        <w:pStyle w:val="SRSNormal"/>
      </w:pPr>
      <w:r>
        <w:t xml:space="preserve">• </w:t>
      </w:r>
      <w:r>
        <w:rPr>
          <w:rFonts w:ascii="Cambria" w:hAnsi="Cambria"/>
          <w:color w:val="000000"/>
        </w:rPr>
        <w:t xml:space="preserve">  The system acknowledges that initial market adoption and user engagement may be lower than desired, influencing a strategic focus on core value propositions rather than an exhaustive feature set.</w:t>
      </w:r>
    </w:p>
    <w:p>
      <w:pPr>
        <w:pStyle w:val="SRSNormal"/>
      </w:pPr>
      <w:r>
        <w:t xml:space="preserve">• </w:t>
      </w:r>
      <w:r>
        <w:rPr>
          <w:rFonts w:ascii="Cambria" w:hAnsi="Cambria"/>
          <w:color w:val="000000"/>
        </w:rPr>
        <w:t xml:space="preserve">  The system shall rely on a User License Agreement (EULA) and Terms and Conditions (T&amp;C) acceptance for user commitment, foregoing complex, individually-negotiated contracts for standard client tiers.</w:t>
      </w:r>
    </w:p>
    <w:p>
      <w:pPr>
        <w:pStyle w:val="SRSNormal"/>
      </w:pPr>
      <w:r>
        <w:t xml:space="preserve">• </w:t>
      </w:r>
      <w:r>
        <w:rPr>
          <w:rFonts w:ascii="Cambria" w:hAnsi="Cambria"/>
          <w:color w:val="000000"/>
        </w:rPr>
        <w:t xml:space="preserve">  The system shall manage campaign-specific phone numbers such that numbers can be reused for new campaigns, but historical data for each number remains associated with its original campaign for analytical integrity.</w:t>
      </w:r>
    </w:p>
    <w:p>
      <w:pPr>
        <w:pStyle w:val="SRSNormal"/>
      </w:pPr>
      <w:r>
        <w:t xml:space="preserve">• </w:t>
      </w:r>
      <w:r>
        <w:rPr>
          <w:rFonts w:ascii="Cambria" w:hAnsi="Cambria"/>
          <w:color w:val="000000"/>
        </w:rPr>
        <w:t xml:space="preserve">  The system’s development for the MVP shall not include a dedicated phase for external penetration testing.</w:t>
      </w:r>
    </w:p>
    <w:p>
      <w:pPr>
        <w:pStyle w:val="SRSNormal"/>
      </w:pPr>
      <w:r>
        <w:t xml:space="preserve">• </w:t>
      </w:r>
      <w:r>
        <w:rPr>
          <w:rFonts w:ascii="Cambria" w:hAnsi="Cambria"/>
          <w:color w:val="000000"/>
        </w:rPr>
        <w:t xml:space="preserve">  The system shall not rely on existing real phone call data from restaurants for initial model training; alternative data sources shall be utilized.</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ind w:left="0" w:right="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