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Stakeholders</w:t>
      </w:r>
    </w:p>
    <w:p>
      <w:pPr>
        <w:pStyle w:val="SRSNormal"/>
      </w:pPr>
      <w:r>
        <w:rPr>
          <w:b/>
        </w:rPr>
        <w:t>2 System Requirements</w:t>
      </w:r>
    </w:p>
    <w:p>
      <w:pPr>
        <w:pStyle w:val="SRSNormal"/>
        <w:ind w:left="720"/>
      </w:pPr>
      <w:r>
        <w:t>2.1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details the functional and non-functional requirements for the Canary.ai platform, an AI-powered call analytics solution designed for restaurants. It outlines the system's core capabilities, including automated call transcription, sentiment analysis, and keyword detection, to provide actionable insights for improving operational efficiency and marketing effectiveness. The platform shall deliver a user-friendly interface, catering to non-technical restaurant staff, and shall support multi-venue management. Furthermore, this document specifies integration requirements for call providers and defines user management, billing, and data privacy protocols. Its purpose is to guide the development and implementation of the Minimum Viable Product (MVP) and subsequent enhancements.</w:t>
      </w:r>
    </w:p>
    <w:p>
      <w:pPr>
        <w:pStyle w:val="SRSHeading2"/>
        <w:spacing w:after="240"/>
      </w:pPr>
      <w:r>
        <w:rPr>
          <w:rFonts w:ascii="Cambria" w:hAnsi="Cambria"/>
          <w:color w:val="4682B4"/>
        </w:rPr>
        <w:t>1.2 Project Stakeholders</w:t>
      </w:r>
    </w:p>
    <w:p>
      <w:pPr>
        <w:pStyle w:val="SRSNormal"/>
        <w:jc w:val="left"/>
      </w:pPr>
      <w:r>
        <w:rPr>
          <w:rFonts w:ascii="Cambria" w:hAnsi="Cambria"/>
          <w:b/>
          <w:color w:val="000000"/>
        </w:rPr>
        <w:t>| Project Stakeholder Name | Designation |</w:t>
      </w:r>
    </w:p>
    <w:p>
      <w:pPr>
        <w:pStyle w:val="SRSNormal"/>
        <w:jc w:val="both"/>
      </w:pPr>
      <w:r>
        <w:rPr>
          <w:rFonts w:ascii="Cambria" w:hAnsi="Cambria"/>
          <w:color w:val="000000"/>
        </w:rPr>
        <w:t>|---|---|</w:t>
      </w:r>
    </w:p>
    <w:p>
      <w:pPr>
        <w:pStyle w:val="SRSNormal"/>
        <w:jc w:val="both"/>
      </w:pPr>
      <w:r>
        <w:rPr>
          <w:rFonts w:ascii="Cambria" w:hAnsi="Cambria"/>
          <w:color w:val="000000"/>
        </w:rPr>
        <w:t>| Joshua | Playbook Product Lead |</w:t>
      </w:r>
    </w:p>
    <w:p>
      <w:pPr>
        <w:pStyle w:val="SRSNormal"/>
        <w:jc w:val="both"/>
      </w:pPr>
      <w:r>
        <w:rPr>
          <w:rFonts w:ascii="Cambria" w:hAnsi="Cambria"/>
          <w:color w:val="000000"/>
        </w:rPr>
        <w:t>| Rishan Gopal | Playbook Technical &amp; Operations Lead |</w:t>
      </w:r>
    </w:p>
    <w:p>
      <w:pPr>
        <w:pStyle w:val="SRSNormal"/>
        <w:jc w:val="left"/>
      </w:pPr>
      <w:r>
        <w:rPr>
          <w:rFonts w:ascii="Cambria" w:hAnsi="Cambria"/>
          <w:b/>
          <w:color w:val="000000"/>
        </w:rPr>
        <w:t>| Tim | Playbook Design Lead |</w:t>
      </w:r>
    </w:p>
    <w:p>
      <w:pPr>
        <w:pStyle w:val="SRSNormal"/>
        <w:jc w:val="both"/>
      </w:pPr>
      <w:r>
        <w:rPr>
          <w:rFonts w:ascii="Cambria" w:hAnsi="Cambria"/>
          <w:color w:val="000000"/>
        </w:rPr>
        <w:t>| Nat | Playbook Team Member |</w:t>
      </w:r>
    </w:p>
    <w:p>
      <w:pPr>
        <w:pStyle w:val="SRSNormal"/>
        <w:jc w:val="both"/>
      </w:pPr>
      <w:r>
        <w:rPr>
          <w:rFonts w:ascii="Cambria" w:hAnsi="Cambria"/>
          <w:color w:val="000000"/>
        </w:rPr>
        <w:t>| Suhail Ahmed | MSBC Project &amp; Technical Lead |</w:t>
      </w:r>
    </w:p>
    <w:p>
      <w:pPr>
        <w:pStyle w:val="SRSNormal"/>
        <w:jc w:val="left"/>
      </w:pPr>
      <w:r>
        <w:rPr>
          <w:rFonts w:ascii="Cambria" w:hAnsi="Cambria"/>
          <w:b/>
          <w:color w:val="000000"/>
        </w:rPr>
        <w:t>| Aesha Thakkar | MSBC UI/UX Design Lead |</w:t>
      </w:r>
    </w:p>
    <w:p>
      <w:pPr>
        <w:pStyle w:val="SRSNormal"/>
        <w:jc w:val="both"/>
      </w:pPr>
      <w:r>
        <w:rPr>
          <w:rFonts w:ascii="Cambria" w:hAnsi="Cambria"/>
          <w:color w:val="000000"/>
        </w:rPr>
        <w:t>| Ajay Chakrobarty | MSBC Technical Consultant |</w:t>
      </w:r>
    </w:p>
    <w:p>
      <w:pPr>
        <w:pStyle w:val="SRSNormal"/>
        <w:jc w:val="both"/>
      </w:pPr>
      <w:r>
        <w:rPr>
          <w:rFonts w:ascii="Cambria" w:hAnsi="Cambria"/>
          <w:color w:val="000000"/>
        </w:rPr>
        <w:t>| Shubhi Mittal | MSBC Technical Consultant |</w:t>
      </w:r>
    </w:p>
    <w:p/>
    <w:p>
      <w:pPr>
        <w:pStyle w:val="SRSHeading1"/>
      </w:pPr>
      <w:r>
        <w:t>2 System Requirements</w:t>
      </w:r>
    </w:p>
    <w:p>
      <w:pPr>
        <w:pStyle w:val="SRSHeading2"/>
        <w:spacing w:after="240"/>
      </w:pPr>
      <w:r>
        <w:rPr>
          <w:rFonts w:ascii="Cambria" w:hAnsi="Cambria"/>
          <w:color w:val="4682B4"/>
        </w:rPr>
        <w:t>2.1 Constraints and Limitation</w:t>
      </w:r>
    </w:p>
    <w:p>
      <w:pPr>
        <w:pStyle w:val="SRSNormal"/>
      </w:pPr>
      <w:r>
        <w:t xml:space="preserve">• </w:t>
      </w:r>
      <w:r>
        <w:rPr>
          <w:rFonts w:ascii="Cambria" w:hAnsi="Cambria"/>
          <w:color w:val="000000"/>
        </w:rPr>
        <w:t xml:space="preserve">  The system shall initially support the English language only for MVP features. Expansion to other languages, including various Arabic dialects, shall occur in future phases.</w:t>
      </w:r>
    </w:p>
    <w:p>
      <w:pPr>
        <w:pStyle w:val="SRSNormal"/>
      </w:pPr>
      <w:r>
        <w:t xml:space="preserve">• </w:t>
      </w:r>
      <w:r>
        <w:rPr>
          <w:rFonts w:ascii="Cambria" w:hAnsi="Cambria"/>
          <w:color w:val="000000"/>
        </w:rPr>
        <w:t xml:space="preserve">  The system's initial rollout shall target 10 restaurants in Dubai, reflecting a phased approach to market penetration and scalability.</w:t>
      </w:r>
    </w:p>
    <w:p>
      <w:pPr>
        <w:pStyle w:val="SRSNormal"/>
      </w:pPr>
      <w:r>
        <w:t xml:space="preserve">• </w:t>
      </w:r>
      <w:r>
        <w:rPr>
          <w:rFonts w:ascii="Cambria" w:hAnsi="Cambria"/>
          <w:color w:val="000000"/>
        </w:rPr>
        <w:t xml:space="preserve">  The user interface and user experience (UI/UX) shall prioritize simplicity and engaging design, specifically catering to non-technical restaurant staff users.</w:t>
      </w:r>
    </w:p>
    <w:p>
      <w:pPr>
        <w:pStyle w:val="SRSNormal"/>
      </w:pPr>
      <w:r>
        <w:t xml:space="preserve">• </w:t>
      </w:r>
      <w:r>
        <w:rPr>
          <w:rFonts w:ascii="Cambria" w:hAnsi="Cambria"/>
          <w:color w:val="000000"/>
        </w:rPr>
        <w:t xml:space="preserve">  The system shall employ a hybrid approach that combines Large Language Models (LLMs) with a custom database for keyword and topic detection, with an initial target accuracy of 70-80%.</w:t>
      </w:r>
    </w:p>
    <w:p>
      <w:pPr>
        <w:pStyle w:val="SRSNormal"/>
      </w:pPr>
      <w:r>
        <w:t xml:space="preserve">• </w:t>
      </w:r>
      <w:r>
        <w:rPr>
          <w:rFonts w:ascii="Cambria" w:hAnsi="Cambria"/>
          <w:color w:val="000000"/>
        </w:rPr>
        <w:t xml:space="preserve">  The system shall record calls using a three-way conferencing method (customer, system, restaurant). Direct call forwarding that bypasses this conference mechanism shall not permit recording.</w:t>
      </w:r>
    </w:p>
    <w:p>
      <w:pPr>
        <w:pStyle w:val="SRSNormal"/>
      </w:pPr>
      <w:r>
        <w:t xml:space="preserve">• </w:t>
      </w:r>
      <w:r>
        <w:rPr>
          <w:rFonts w:ascii="Cambria" w:hAnsi="Cambria"/>
          <w:color w:val="000000"/>
        </w:rPr>
        <w:t xml:space="preserve">  The system shall not support the recording of outbound calls initiated by restaurant staff to customers.</w:t>
      </w:r>
    </w:p>
    <w:p>
      <w:pPr>
        <w:pStyle w:val="SRSNormal"/>
      </w:pPr>
      <w:r>
        <w:t xml:space="preserve">• </w:t>
      </w:r>
      <w:r>
        <w:rPr>
          <w:rFonts w:ascii="Cambria" w:hAnsi="Cambria"/>
          <w:color w:val="000000"/>
        </w:rPr>
        <w:t xml:space="preserve">  The system shall comply with UAE data privacy regulations for the initial phase, with plans for broader compliance (e.g., GDPR) as the platform expands geographically.</w:t>
      </w:r>
    </w:p>
    <w:p>
      <w:pPr>
        <w:pStyle w:val="SRSNormal"/>
      </w:pPr>
      <w:r>
        <w:t xml:space="preserve">• </w:t>
      </w:r>
      <w:r>
        <w:rPr>
          <w:rFonts w:ascii="Cambria" w:hAnsi="Cambria"/>
          <w:color w:val="000000"/>
        </w:rPr>
        <w:t xml:space="preserve">  The system shall not offer raw data exports to customers or administrators to safeguard proprietary insights and prevent data leakage. Exportable content shall be limited to processed insights and presentation-friendly reports (e.g., PDF).</w:t>
      </w:r>
    </w:p>
    <w:p>
      <w:pPr>
        <w:pStyle w:val="SRSNormal"/>
      </w:pPr>
      <w:r>
        <w:t xml:space="preserve">• </w:t>
      </w:r>
      <w:r>
        <w:rPr>
          <w:rFonts w:ascii="Cambria" w:hAnsi="Cambria"/>
          <w:color w:val="000000"/>
        </w:rPr>
        <w:t xml:space="preserve">  User onboarding shall be primarily semi-manual, with the sales team facilitating account creation and payment setup in the administration portal. A fully self-service onboarding process is not within the MVP scope.</w:t>
      </w:r>
    </w:p>
    <w:p>
      <w:pPr>
        <w:pStyle w:val="SRSNormal"/>
      </w:pPr>
      <w:r>
        <w:t xml:space="preserve">• </w:t>
      </w:r>
      <w:r>
        <w:rPr>
          <w:rFonts w:ascii="Cambria" w:hAnsi="Cambria"/>
          <w:color w:val="000000"/>
        </w:rPr>
        <w:t xml:space="preserve">  The system shall offer two basic user roles: 'Admin' (with permissions for user and billing management) and 'User' (limited to viewing analytics).</w:t>
      </w:r>
    </w:p>
    <w:p>
      <w:pPr>
        <w:pStyle w:val="SRSNormal"/>
      </w:pPr>
      <w:r>
        <w:t xml:space="preserve">• </w:t>
      </w:r>
      <w:r>
        <w:rPr>
          <w:rFonts w:ascii="Cambria" w:hAnsi="Cambria"/>
          <w:color w:val="000000"/>
        </w:rPr>
        <w:t xml:space="preserve">  The system's core application (dashboard) shall be a web-only interface for the MVP and shall not be mobile-responsive. The public-facing marketing website shall be mobile-responsive.</w:t>
      </w:r>
    </w:p>
    <w:p>
      <w:pPr>
        <w:pStyle w:val="SRSNormal"/>
      </w:pPr>
      <w:r>
        <w:t xml:space="preserve">• </w:t>
      </w:r>
      <w:r>
        <w:rPr>
          <w:rFonts w:ascii="Cambria" w:hAnsi="Cambria"/>
          <w:color w:val="000000"/>
        </w:rPr>
        <w:t xml:space="preserve">  The system shall not implement multi-factor authentication (MFA) for end-users in the MVP to maintain user-friendliness.</w:t>
      </w:r>
    </w:p>
    <w:p>
      <w:pPr>
        <w:pStyle w:val="SRSNormal"/>
      </w:pPr>
      <w:r>
        <w:t xml:space="preserve">• </w:t>
      </w:r>
      <w:r>
        <w:rPr>
          <w:rFonts w:ascii="Cambria" w:hAnsi="Cambria"/>
          <w:color w:val="000000"/>
        </w:rPr>
        <w:t xml:space="preserve">  Initial customer support shall be facilitated through manual live chat, with direct human interaction prioritized over an AI-powered chatbot.</w:t>
      </w:r>
    </w:p>
    <w:p>
      <w:pPr>
        <w:pStyle w:val="SRSNormal"/>
      </w:pPr>
      <w:r>
        <w:t xml:space="preserve">• </w:t>
      </w:r>
      <w:r>
        <w:rPr>
          <w:rFonts w:ascii="Cambria" w:hAnsi="Cambria"/>
          <w:color w:val="000000"/>
        </w:rPr>
        <w:t xml:space="preserve">  The system shall not track or provide analytics on individual staff performance within a restaurant.</w:t>
      </w:r>
    </w:p>
    <w:p>
      <w:pPr>
        <w:pStyle w:val="SRSNormal"/>
      </w:pPr>
      <w:r>
        <w:t xml:space="preserve">• </w:t>
      </w:r>
      <w:r>
        <w:rPr>
          <w:rFonts w:ascii="Cambria" w:hAnsi="Cambria"/>
          <w:color w:val="000000"/>
        </w:rPr>
        <w:t xml:space="preserve">  The system shall present analytics and insights through word-based widgets and textual summaries, abstaining from complex graphical representations (e.g., bar charts, line graphs) in the primary dashboard view.</w:t>
      </w:r>
    </w:p>
    <w:p>
      <w:pPr>
        <w:pStyle w:val="SRSNormal"/>
      </w:pPr>
      <w:r>
        <w:t xml:space="preserve">• </w:t>
      </w:r>
      <w:r>
        <w:rPr>
          <w:rFonts w:ascii="Cambria" w:hAnsi="Cambria"/>
          <w:color w:val="000000"/>
        </w:rPr>
        <w:t xml:space="preserve">  The system's billing mechanism shall incorporate an auto top-up feature for call minutes, linked to a configurable threshold, to prevent service interruption. Notifications shall be delivered for low minute balances and payment failures.</w:t>
      </w:r>
    </w:p>
    <w:p>
      <w:pPr>
        <w:pStyle w:val="SRSNormal"/>
      </w:pPr>
      <w:r>
        <w:t xml:space="preserve">• </w:t>
      </w:r>
      <w:r>
        <w:rPr>
          <w:rFonts w:ascii="Cambria" w:hAnsi="Cambria"/>
          <w:color w:val="000000"/>
        </w:rPr>
        <w:t xml:space="preserve">  The administration portal shall include a 'kill switch' functionality to deactivate customer accounts as required.</w:t>
      </w:r>
    </w:p>
    <w:p>
      <w:pPr>
        <w:pStyle w:val="SRSNormal"/>
      </w:pPr>
      <w:r>
        <w:t xml:space="preserve">• </w:t>
      </w:r>
      <w:r>
        <w:rPr>
          <w:rFonts w:ascii="Cambria" w:hAnsi="Cambria"/>
          <w:color w:val="000000"/>
        </w:rPr>
        <w:t xml:space="preserve">  Customer data shall be retained for internal training purposes as stipulated in the End User License Agreement (EULA) and Terms and Conditions. Post-cancellation, data shall be retained for a defined period (e.g., 2-3 months) before being purged; re-subscribing customers beyond this period shall commence with a new data profile.</w:t>
      </w:r>
    </w:p>
    <w:p>
      <w:pPr>
        <w:pStyle w:val="SRSNormal"/>
      </w:pPr>
      <w:r>
        <w:t xml:space="preserve">• </w:t>
      </w:r>
      <w:r>
        <w:rPr>
          <w:rFonts w:ascii="Cambria" w:hAnsi="Cambria"/>
          <w:color w:val="000000"/>
        </w:rPr>
        <w:t xml:space="preserve">  The system shall not compute the exact monetary loss associated with missed calls due to the inherent variability and complexity of assigning precise value.</w:t>
      </w:r>
    </w:p>
    <w:p>
      <w:pPr>
        <w:pStyle w:val="SRSNormal"/>
      </w:pPr>
      <w:r>
        <w:t xml:space="preserve">• </w:t>
      </w:r>
      <w:r>
        <w:rPr>
          <w:rFonts w:ascii="Cambria" w:hAnsi="Cambria"/>
          <w:color w:val="000000"/>
        </w:rPr>
        <w:t xml:space="preserve">  External penetration testing shall not be a requirement for the MVP release but is planned for subsequent development phases.</w:t>
      </w:r>
    </w:p>
    <w:p>
      <w:pPr>
        <w:pStyle w:val="SRSNormal"/>
      </w:pPr>
      <w:r>
        <w:t xml:space="preserve">• </w:t>
      </w:r>
      <w:r>
        <w:rPr>
          <w:rFonts w:ascii="Cambria" w:hAnsi="Cambria"/>
          <w:color w:val="000000"/>
        </w:rPr>
        <w:t xml:space="preserve">  The system shall mandate completion of specific profile questions (e.g., average spend per head, visit frequency, average group booking size) during initial customer setup to enable foundational analytics.</w:t>
      </w:r>
    </w:p>
    <w:p>
      <w:pPr>
        <w:pStyle w:val="SRSNormal"/>
      </w:pPr>
      <w:r>
        <w:t xml:space="preserve">• </w:t>
      </w:r>
      <w:r>
        <w:rPr>
          <w:rFonts w:ascii="Cambria" w:hAnsi="Cambria"/>
          <w:color w:val="000000"/>
        </w:rPr>
        <w:t xml:space="preserve">  The system shall implement a phone number verification process during initial setup, relying on confirmation of administrator-entered data rather than customer-initiated phone verification (e.g., OTP).</w:t>
      </w:r>
    </w:p>
    <w:p>
      <w:pPr>
        <w:pStyle w:val="SRSNormal"/>
      </w:pPr>
      <w:r>
        <w:t xml:space="preserve">• </w:t>
      </w:r>
      <w:r>
        <w:rPr>
          <w:rFonts w:ascii="Cambria" w:hAnsi="Cambria"/>
          <w:color w:val="000000"/>
        </w:rPr>
        <w:t xml:space="preserve">  Each marketing campaign shall necessitate a unique digital phone number for accurate source tracking. A default number shall be provided with the base subscription, and additional numbers shall be procurable based on the customer's subscription plan.</w:t>
      </w:r>
    </w:p>
    <w:p>
      <w:pPr>
        <w:pStyle w:val="SRSNormal"/>
      </w:pPr>
      <w:r>
        <w:t xml:space="preserve">• </w:t>
      </w:r>
      <w:r>
        <w:rPr>
          <w:rFonts w:ascii="Cambria" w:hAnsi="Cambria"/>
          <w:color w:val="000000"/>
        </w:rPr>
        <w:t xml:space="preserve">  The system shall prohibit the creation of a campaign without an associated digital phone number.</w:t>
      </w:r>
    </w:p>
    <w:p>
      <w:pPr>
        <w:pStyle w:val="SRSNormal"/>
      </w:pPr>
      <w:r>
        <w:t xml:space="preserve">• </w:t>
      </w:r>
      <w:r>
        <w:rPr>
          <w:rFonts w:ascii="Cambria" w:hAnsi="Cambria"/>
          <w:color w:val="000000"/>
        </w:rPr>
        <w:t xml:space="preserve">  Refunds shall be managed externally via Stripe and shall not be directly handled by the system's internal processes.</w:t>
      </w:r>
    </w:p>
    <w:p>
      <w:pPr>
        <w:pStyle w:val="SRSNormal"/>
      </w:pPr>
      <w:r>
        <w:t xml:space="preserve">• </w:t>
      </w:r>
      <w:r>
        <w:rPr>
          <w:rFonts w:ascii="Cambria" w:hAnsi="Cambria"/>
          <w:color w:val="000000"/>
        </w:rPr>
        <w:t xml:space="preserve">  The system's administration portal shall provide filtering options by cuisine type and geographical region to enable aggregated analytics views across multiple customer restaurants.</w:t>
      </w:r>
    </w:p>
    <w:p>
      <w:pPr>
        <w:pStyle w:val="SRSNormal"/>
      </w:pPr>
      <w:r>
        <w:t xml:space="preserve">• </w:t>
      </w:r>
      <w:r>
        <w:rPr>
          <w:rFonts w:ascii="Cambria" w:hAnsi="Cambria"/>
          <w:color w:val="000000"/>
        </w:rPr>
        <w:t xml:space="preserve">  The system's UI/UX for campaign management shall support the display and organization of a large volume of campaigns (e.g., 100+), incorporating features such as list views, sorting, and dynamic ordering for enhanced usability.</w:t>
      </w:r>
    </w:p>
    <w:p>
      <w:pPr>
        <w:pStyle w:val="SRSNormal"/>
      </w:pPr>
      <w:r>
        <w:t xml:space="preserve">• </w:t>
      </w:r>
      <w:r>
        <w:rPr>
          <w:rFonts w:ascii="Cambria" w:hAnsi="Cambria"/>
          <w:color w:val="000000"/>
        </w:rPr>
        <w:t xml:space="preserve">  The initial client dashboard view shall appear blank upon first login, prompting the user to conduct a test call to initiate data collection.</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