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6236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3AECAE86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Customer churn is a critical issue for businesses, especially in industries such as telecommunications, banking, and subscription-based services. Churn refers to customers discontinuing their relationship with a company. Predicting churn enables organizations to take proactive measures to retain customers and improve revenue.</w:t>
      </w:r>
    </w:p>
    <w:p w14:paraId="24F01CBA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This project focuses on developing a machine learning model to predict customer churn using historical customer data and identifying key factors influencing churn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1DEB462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2. Problem Statement</w:t>
      </w:r>
    </w:p>
    <w:p w14:paraId="67BAED24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 objective of this project is to build a predictive model that identifies whether a customer is likely to churn based on demographic details, service usage patterns, and account-related information.</w:t>
      </w:r>
    </w:p>
    <w:p w14:paraId="6C414E16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3. Dataset Description</w:t>
      </w:r>
    </w:p>
    <w:p w14:paraId="205D9815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The dataset used is the </w:t>
      </w: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Telco Customer Churn Dataset</w:t>
      </w:r>
      <w:r w:rsidRPr="007E3F4E">
        <w:rPr>
          <w:rFonts w:ascii="Times New Roman" w:hAnsi="Times New Roman" w:cs="Times New Roman"/>
          <w:sz w:val="28"/>
          <w:szCs w:val="28"/>
          <w:lang w:val="en-IN"/>
        </w:rPr>
        <w:t>, which contains 7043 customer records with 21 features.</w:t>
      </w:r>
    </w:p>
    <w:p w14:paraId="41A01B4C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Features:</w:t>
      </w:r>
    </w:p>
    <w:p w14:paraId="3643F8E5" w14:textId="77777777" w:rsidR="007E3F4E" w:rsidRPr="007E3F4E" w:rsidRDefault="007E3F4E" w:rsidP="007E3F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Demographic: Gender,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SeniorCitizen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, Partner, Dependents </w:t>
      </w:r>
    </w:p>
    <w:p w14:paraId="68B02B33" w14:textId="77777777" w:rsidR="007E3F4E" w:rsidRPr="007E3F4E" w:rsidRDefault="007E3F4E" w:rsidP="007E3F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Service: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InternetService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OnlineSecurity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StreamingTV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97644B4" w14:textId="77777777" w:rsidR="007E3F4E" w:rsidRPr="007E3F4E" w:rsidRDefault="007E3F4E" w:rsidP="007E3F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Account: Tenure,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MonthlyCharges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TotalCharges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9368CEC" w14:textId="77777777" w:rsidR="007E3F4E" w:rsidRPr="007E3F4E" w:rsidRDefault="007E3F4E" w:rsidP="007E3F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Target Variable: </w:t>
      </w: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Churn (Yes/No)</w:t>
      </w: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CC92A47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 dataset contains both categorical and numerical features and required preprocessing before model training.</w:t>
      </w:r>
    </w:p>
    <w:p w14:paraId="43000EF4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4. Methodology</w:t>
      </w:r>
    </w:p>
    <w:p w14:paraId="744A8738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 project follows a structured machine learning pipeline:</w:t>
      </w:r>
    </w:p>
    <w:p w14:paraId="6A3274B7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Data Collection </w:t>
      </w:r>
    </w:p>
    <w:p w14:paraId="2CB4769C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Data Preprocessing </w:t>
      </w:r>
    </w:p>
    <w:p w14:paraId="22370841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Feature Engineering </w:t>
      </w:r>
    </w:p>
    <w:p w14:paraId="34446754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Model Building </w:t>
      </w:r>
    </w:p>
    <w:p w14:paraId="3F3CC075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Model Evaluation </w:t>
      </w:r>
    </w:p>
    <w:p w14:paraId="18B01229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Model Explainability (SHAP) </w:t>
      </w:r>
    </w:p>
    <w:p w14:paraId="35B57793" w14:textId="77777777" w:rsidR="007E3F4E" w:rsidRPr="007E3F4E" w:rsidRDefault="007E3F4E" w:rsidP="007E3F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Business Insights</w:t>
      </w:r>
    </w:p>
    <w:p w14:paraId="32DD1991" w14:textId="77777777" w:rsidR="0048690E" w:rsidRPr="007E3F4E" w:rsidRDefault="0048690E" w:rsidP="007E3F4E">
      <w:pPr>
        <w:rPr>
          <w:rFonts w:ascii="Times New Roman" w:hAnsi="Times New Roman" w:cs="Times New Roman"/>
          <w:sz w:val="28"/>
          <w:szCs w:val="28"/>
        </w:rPr>
      </w:pPr>
    </w:p>
    <w:p w14:paraId="5D7ADE36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5. Data Preprocessing</w:t>
      </w:r>
    </w:p>
    <w:p w14:paraId="4DABB6DA" w14:textId="77777777" w:rsidR="007E3F4E" w:rsidRPr="007E3F4E" w:rsidRDefault="007E3F4E" w:rsidP="007E3F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Converted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TotalCharges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to numeric and handled missing values </w:t>
      </w:r>
    </w:p>
    <w:p w14:paraId="4F929EFD" w14:textId="77777777" w:rsidR="007E3F4E" w:rsidRPr="007E3F4E" w:rsidRDefault="007E3F4E" w:rsidP="007E3F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Encoded categorical variables using One-Hot Encoding </w:t>
      </w:r>
    </w:p>
    <w:p w14:paraId="46EA28ED" w14:textId="77777777" w:rsidR="007E3F4E" w:rsidRPr="007E3F4E" w:rsidRDefault="007E3F4E" w:rsidP="007E3F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Converted binary values (Yes/No) into numerical format </w:t>
      </w:r>
    </w:p>
    <w:p w14:paraId="2030DDD9" w14:textId="77777777" w:rsidR="007E3F4E" w:rsidRPr="007E3F4E" w:rsidRDefault="007E3F4E" w:rsidP="007E3F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Removed irrelevant columns such as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0DBB87D4" w14:textId="77777777" w:rsidR="007E3F4E" w:rsidRPr="007E3F4E" w:rsidRDefault="007E3F4E" w:rsidP="007E3F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Applied feature scaling using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StandardScaler</w:t>
      </w:r>
      <w:proofErr w:type="spellEnd"/>
    </w:p>
    <w:p w14:paraId="63735BC1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6. Feature Engineering</w:t>
      </w:r>
    </w:p>
    <w:p w14:paraId="5B93F326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Additional transformations and encoding were applied to improve model performance:</w:t>
      </w:r>
    </w:p>
    <w:p w14:paraId="55E3D231" w14:textId="77777777" w:rsidR="007E3F4E" w:rsidRPr="007E3F4E" w:rsidRDefault="007E3F4E" w:rsidP="007E3F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One-hot encoding of categorical features </w:t>
      </w:r>
    </w:p>
    <w:p w14:paraId="20039664" w14:textId="77777777" w:rsidR="007E3F4E" w:rsidRPr="007E3F4E" w:rsidRDefault="007E3F4E" w:rsidP="007E3F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Transformation of binary features </w:t>
      </w:r>
    </w:p>
    <w:p w14:paraId="44AD4615" w14:textId="77777777" w:rsidR="007E3F4E" w:rsidRPr="007E3F4E" w:rsidRDefault="007E3F4E" w:rsidP="007E3F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Scaling numerical features for better model convergence </w:t>
      </w:r>
    </w:p>
    <w:p w14:paraId="5C90568F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7. Model Building</w:t>
      </w:r>
    </w:p>
    <w:p w14:paraId="28558B09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 following models were implemented:</w:t>
      </w:r>
    </w:p>
    <w:p w14:paraId="74C39F00" w14:textId="77777777" w:rsidR="007E3F4E" w:rsidRPr="007E3F4E" w:rsidRDefault="007E3F4E" w:rsidP="007E3F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Logistic Regression </w:t>
      </w:r>
    </w:p>
    <w:p w14:paraId="0FB7AED3" w14:textId="77777777" w:rsidR="007E3F4E" w:rsidRPr="007E3F4E" w:rsidRDefault="007E3F4E" w:rsidP="007E3F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Random Forest </w:t>
      </w:r>
    </w:p>
    <w:p w14:paraId="14BA96D1" w14:textId="77777777" w:rsidR="007E3F4E" w:rsidRPr="007E3F4E" w:rsidRDefault="007E3F4E" w:rsidP="007E3F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XGBoost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5389250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lastRenderedPageBreak/>
        <w:t>Each model was trained using an 80-20 train-test split with stratification to maintain class balance.</w:t>
      </w:r>
    </w:p>
    <w:p w14:paraId="3AF4B663" w14:textId="030A4873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8. Model Evaluation</w:t>
      </w:r>
    </w:p>
    <w:p w14:paraId="5905CE8D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Metrics Used:</w:t>
      </w:r>
    </w:p>
    <w:p w14:paraId="4ED1E837" w14:textId="77777777" w:rsidR="007E3F4E" w:rsidRPr="007E3F4E" w:rsidRDefault="007E3F4E" w:rsidP="007E3F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Accuracy </w:t>
      </w:r>
    </w:p>
    <w:p w14:paraId="65C65C85" w14:textId="77777777" w:rsidR="007E3F4E" w:rsidRPr="007E3F4E" w:rsidRDefault="007E3F4E" w:rsidP="007E3F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Precision </w:t>
      </w:r>
    </w:p>
    <w:p w14:paraId="05D852A8" w14:textId="77777777" w:rsidR="007E3F4E" w:rsidRPr="007E3F4E" w:rsidRDefault="007E3F4E" w:rsidP="007E3F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Recall </w:t>
      </w:r>
    </w:p>
    <w:p w14:paraId="56E79F91" w14:textId="77777777" w:rsidR="007E3F4E" w:rsidRPr="007E3F4E" w:rsidRDefault="007E3F4E" w:rsidP="007E3F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F1-score </w:t>
      </w:r>
    </w:p>
    <w:p w14:paraId="0EE161C9" w14:textId="77777777" w:rsidR="007E3F4E" w:rsidRPr="007E3F4E" w:rsidRDefault="007E3F4E" w:rsidP="007E3F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ROC-AUC Score </w:t>
      </w:r>
    </w:p>
    <w:p w14:paraId="777102E7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Results Summary:</w:t>
      </w:r>
    </w:p>
    <w:p w14:paraId="45896289" w14:textId="77777777" w:rsidR="007E3F4E" w:rsidRPr="007E3F4E" w:rsidRDefault="007E3F4E" w:rsidP="007E3F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Logistic Regression achieved the best performance with: </w:t>
      </w:r>
    </w:p>
    <w:p w14:paraId="4295FD1B" w14:textId="77777777" w:rsidR="007E3F4E" w:rsidRPr="007E3F4E" w:rsidRDefault="007E3F4E" w:rsidP="007E3F4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Accuracy ≈ 79.8% </w:t>
      </w:r>
    </w:p>
    <w:p w14:paraId="0F1BDEC3" w14:textId="77777777" w:rsidR="007E3F4E" w:rsidRPr="007E3F4E" w:rsidRDefault="007E3F4E" w:rsidP="007E3F4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ROC-AUC ≈ 0.84 </w:t>
      </w:r>
    </w:p>
    <w:p w14:paraId="3B3D8C2C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 model showed strong performance in predicting non-churn customers but moderate performance in identifying churn cases due to class imbalance.</w:t>
      </w:r>
    </w:p>
    <w:p w14:paraId="10AFBBAE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9. Visualization</w:t>
      </w:r>
    </w:p>
    <w:p w14:paraId="40BFC1C0" w14:textId="77777777" w:rsidR="007E3F4E" w:rsidRPr="007E3F4E" w:rsidRDefault="007E3F4E" w:rsidP="007E3F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Confusion Matrix </w:t>
      </w:r>
    </w:p>
    <w:p w14:paraId="1778BDCA" w14:textId="77777777" w:rsidR="007E3F4E" w:rsidRPr="007E3F4E" w:rsidRDefault="007E3F4E" w:rsidP="007E3F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ROC Curve </w:t>
      </w:r>
    </w:p>
    <w:p w14:paraId="0E15BC76" w14:textId="77777777" w:rsidR="007E3F4E" w:rsidRPr="007E3F4E" w:rsidRDefault="007E3F4E" w:rsidP="007E3F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Feature Importance Graph </w:t>
      </w:r>
    </w:p>
    <w:p w14:paraId="72EBB8AE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These visualizations helped in understanding model performance and feature influence.</w:t>
      </w:r>
    </w:p>
    <w:p w14:paraId="1754A8DC" w14:textId="77777777" w:rsid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BB1E06E" w14:textId="77777777" w:rsid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BB8EB2" w14:textId="77777777" w:rsid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EF431B" w14:textId="21FBD8DE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10. Model Explainability (SHAP)</w:t>
      </w:r>
    </w:p>
    <w:p w14:paraId="41EE3468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SHAP (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SHapley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 Additive </w:t>
      </w:r>
      <w:proofErr w:type="spellStart"/>
      <w:r w:rsidRPr="007E3F4E">
        <w:rPr>
          <w:rFonts w:ascii="Times New Roman" w:hAnsi="Times New Roman" w:cs="Times New Roman"/>
          <w:sz w:val="28"/>
          <w:szCs w:val="28"/>
          <w:lang w:val="en-IN"/>
        </w:rPr>
        <w:t>exPlanations</w:t>
      </w:r>
      <w:proofErr w:type="spellEnd"/>
      <w:r w:rsidRPr="007E3F4E">
        <w:rPr>
          <w:rFonts w:ascii="Times New Roman" w:hAnsi="Times New Roman" w:cs="Times New Roman"/>
          <w:sz w:val="28"/>
          <w:szCs w:val="28"/>
          <w:lang w:val="en-IN"/>
        </w:rPr>
        <w:t>) was used to interpret model predictions.</w:t>
      </w:r>
    </w:p>
    <w:p w14:paraId="6A5D4C33" w14:textId="7777777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Findings:</w:t>
      </w:r>
    </w:p>
    <w:p w14:paraId="1841393D" w14:textId="77777777" w:rsidR="007E3F4E" w:rsidRPr="007E3F4E" w:rsidRDefault="007E3F4E" w:rsidP="007E3F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Tenure is the most influential feature </w:t>
      </w:r>
    </w:p>
    <w:p w14:paraId="193DA48A" w14:textId="77777777" w:rsidR="007E3F4E" w:rsidRPr="007E3F4E" w:rsidRDefault="007E3F4E" w:rsidP="007E3F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Higher monthly charges increase churn probability </w:t>
      </w:r>
    </w:p>
    <w:p w14:paraId="6CDE11A1" w14:textId="77777777" w:rsidR="007E3F4E" w:rsidRPr="007E3F4E" w:rsidRDefault="007E3F4E" w:rsidP="007E3F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Fiber optic users are more likely to churn </w:t>
      </w:r>
    </w:p>
    <w:p w14:paraId="14B14378" w14:textId="5FA58571" w:rsidR="007E3F4E" w:rsidRPr="007E3F4E" w:rsidRDefault="007E3F4E" w:rsidP="007E3F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Long-term contracts reduce churn </w:t>
      </w:r>
    </w:p>
    <w:p w14:paraId="6F76137B" w14:textId="69DF5A17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>11. Business Insights</w:t>
      </w:r>
    </w:p>
    <w:p w14:paraId="1FD63B10" w14:textId="77777777" w:rsidR="007E3F4E" w:rsidRPr="007E3F4E" w:rsidRDefault="007E3F4E" w:rsidP="007E3F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New customers are more likely to churn </w:t>
      </w:r>
    </w:p>
    <w:p w14:paraId="78A4A582" w14:textId="77777777" w:rsidR="007E3F4E" w:rsidRPr="007E3F4E" w:rsidRDefault="007E3F4E" w:rsidP="007E3F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High pricing plans contribute to customer loss </w:t>
      </w:r>
    </w:p>
    <w:p w14:paraId="5F6E5E1E" w14:textId="77777777" w:rsidR="007E3F4E" w:rsidRPr="007E3F4E" w:rsidRDefault="007E3F4E" w:rsidP="007E3F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Electronic payment users show higher churn </w:t>
      </w:r>
    </w:p>
    <w:p w14:paraId="281D8256" w14:textId="77777777" w:rsidR="007E3F4E" w:rsidRPr="007E3F4E" w:rsidRDefault="007E3F4E" w:rsidP="007E3F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Long-term contracts improve retention </w:t>
      </w:r>
    </w:p>
    <w:p w14:paraId="08C57306" w14:textId="3890132D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12. Conclusion</w:t>
      </w:r>
    </w:p>
    <w:p w14:paraId="19DA6707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This project successfully developed a predictive model for customer churn. Logistic Regression performed best with a ROC-AUC score of 0.84. Key factors influencing churn include tenure, monthly charges, and service type. The use of SHAP enhanced model interpretability, making the solution practical for real-world applications.</w:t>
      </w:r>
    </w:p>
    <w:p w14:paraId="6641FB59" w14:textId="77777777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5FA17C" w14:textId="4BDFDD84" w:rsidR="007E3F4E" w:rsidRPr="007E3F4E" w:rsidRDefault="007E3F4E" w:rsidP="007E3F4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13. Future Scope</w:t>
      </w:r>
    </w:p>
    <w:p w14:paraId="15C3001F" w14:textId="77777777" w:rsidR="007E3F4E" w:rsidRPr="007E3F4E" w:rsidRDefault="007E3F4E" w:rsidP="007E3F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Integration with real-time customer systems </w:t>
      </w:r>
    </w:p>
    <w:p w14:paraId="74E85237" w14:textId="77777777" w:rsidR="007E3F4E" w:rsidRPr="007E3F4E" w:rsidRDefault="007E3F4E" w:rsidP="007E3F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Use of deep learning models </w:t>
      </w:r>
    </w:p>
    <w:p w14:paraId="0FA70796" w14:textId="77777777" w:rsidR="007E3F4E" w:rsidRPr="007E3F4E" w:rsidRDefault="007E3F4E" w:rsidP="007E3F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 xml:space="preserve">Deployment as a web application </w:t>
      </w:r>
    </w:p>
    <w:p w14:paraId="15DAC5DC" w14:textId="77777777" w:rsidR="007E3F4E" w:rsidRPr="007E3F4E" w:rsidRDefault="007E3F4E" w:rsidP="007E3F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E3F4E">
        <w:rPr>
          <w:rFonts w:ascii="Times New Roman" w:hAnsi="Times New Roman" w:cs="Times New Roman"/>
          <w:sz w:val="28"/>
          <w:szCs w:val="28"/>
          <w:lang w:val="en-IN"/>
        </w:rPr>
        <w:t>Automated retention strategies</w:t>
      </w:r>
    </w:p>
    <w:p w14:paraId="62DB0039" w14:textId="433749B4" w:rsidR="007E3F4E" w:rsidRPr="007E3F4E" w:rsidRDefault="007E3F4E" w:rsidP="007E3F4E">
      <w:pPr>
        <w:rPr>
          <w:rFonts w:ascii="Times New Roman" w:hAnsi="Times New Roman" w:cs="Times New Roman"/>
          <w:sz w:val="28"/>
          <w:szCs w:val="28"/>
        </w:rPr>
      </w:pPr>
    </w:p>
    <w:sectPr w:rsidR="007E3F4E" w:rsidRPr="007E3F4E" w:rsidSect="007E3F4E">
      <w:pgSz w:w="12240" w:h="15840"/>
      <w:pgMar w:top="1440" w:right="1080" w:bottom="1440" w:left="1080" w:header="708" w:footer="708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532"/>
    <w:multiLevelType w:val="multilevel"/>
    <w:tmpl w:val="E4F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2F7"/>
    <w:multiLevelType w:val="multilevel"/>
    <w:tmpl w:val="CF7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AD0"/>
    <w:multiLevelType w:val="multilevel"/>
    <w:tmpl w:val="8E88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F4E11"/>
    <w:multiLevelType w:val="multilevel"/>
    <w:tmpl w:val="64F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D0428"/>
    <w:multiLevelType w:val="multilevel"/>
    <w:tmpl w:val="2FE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54B15"/>
    <w:multiLevelType w:val="multilevel"/>
    <w:tmpl w:val="540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25392"/>
    <w:multiLevelType w:val="multilevel"/>
    <w:tmpl w:val="B17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F6DC4"/>
    <w:multiLevelType w:val="multilevel"/>
    <w:tmpl w:val="A81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40273"/>
    <w:multiLevelType w:val="multilevel"/>
    <w:tmpl w:val="63B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C5001"/>
    <w:multiLevelType w:val="multilevel"/>
    <w:tmpl w:val="F8A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F5C9E"/>
    <w:multiLevelType w:val="multilevel"/>
    <w:tmpl w:val="D9E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98508">
    <w:abstractNumId w:val="1"/>
  </w:num>
  <w:num w:numId="2" w16cid:durableId="983656944">
    <w:abstractNumId w:val="2"/>
  </w:num>
  <w:num w:numId="3" w16cid:durableId="462500990">
    <w:abstractNumId w:val="0"/>
  </w:num>
  <w:num w:numId="4" w16cid:durableId="420493946">
    <w:abstractNumId w:val="4"/>
  </w:num>
  <w:num w:numId="5" w16cid:durableId="1722289259">
    <w:abstractNumId w:val="9"/>
  </w:num>
  <w:num w:numId="6" w16cid:durableId="977151083">
    <w:abstractNumId w:val="7"/>
  </w:num>
  <w:num w:numId="7" w16cid:durableId="382027490">
    <w:abstractNumId w:val="8"/>
  </w:num>
  <w:num w:numId="8" w16cid:durableId="209805630">
    <w:abstractNumId w:val="5"/>
  </w:num>
  <w:num w:numId="9" w16cid:durableId="155074453">
    <w:abstractNumId w:val="6"/>
  </w:num>
  <w:num w:numId="10" w16cid:durableId="1962834511">
    <w:abstractNumId w:val="10"/>
  </w:num>
  <w:num w:numId="11" w16cid:durableId="119346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4E"/>
    <w:rsid w:val="00380096"/>
    <w:rsid w:val="0048690E"/>
    <w:rsid w:val="007D3B9F"/>
    <w:rsid w:val="007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3905"/>
  <w15:chartTrackingRefBased/>
  <w15:docId w15:val="{CB7EFD6A-1507-4790-AC58-6CDA44C9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REDDY .M.C.</dc:creator>
  <cp:keywords/>
  <dc:description/>
  <cp:lastModifiedBy>YASHWANTH REDDY .M.C.</cp:lastModifiedBy>
  <cp:revision>1</cp:revision>
  <dcterms:created xsi:type="dcterms:W3CDTF">2026-04-25T08:47:00Z</dcterms:created>
  <dcterms:modified xsi:type="dcterms:W3CDTF">2026-04-25T08:57:00Z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fe59dd3f-3349-476d-8f21-2a64cab70000</vt:lpwstr>
  </property>
</Properties>
</file>