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Enterprise Expense Approval Automation Agent</w:t>
      </w:r>
    </w:p>
    <w:p>
      <w:pPr>
        <w:spacing w:after="300"/>
      </w:pPr>
      <w:r>
        <w:rPr>
          <w:color w:val="595959"/>
          <w:sz w:val="24"/>
          <w:szCs w:val="24"/>
        </w:rPr>
        <w:t xml:space="preserve">Project Summary Document</w:t>
      </w:r>
    </w:p>
    <w:p>
      <w:pPr>
        <w:pStyle w:val="Heading1"/>
      </w:pPr>
      <w:r>
        <w:t xml:space="preserve">1. What We Are Building</w:t>
      </w:r>
    </w:p>
    <w:p>
      <w:pPr>
        <w:spacing w:after="200"/>
      </w:pPr>
      <w:r>
        <w:t xml:space="preserve">An end-to-end workflow automation system that processes employee expense reports from submission to final decision. The system combines deterministic, rule-based logic with an LLM for judgment calls, and involves a human reviewer only when necessary. Every step is logged for full auditability.</w:t>
      </w:r>
    </w:p>
    <w:p>
      <w:pPr>
        <w:spacing w:after="200"/>
      </w:pPr>
      <w:r>
        <w:t xml:space="preserve">The core engineering goal of this project is to demonstrate the ability to correctly split a business process into deterministic steps (fast, cheap, reliable) and judgment-based steps (where an LLM adds genuine value) — rather than defaulting to either "all rules" or "all AI."</w:t>
      </w:r>
    </w:p>
    <w:p>
      <w:pPr>
        <w:pStyle w:val="Heading1"/>
      </w:pPr>
      <w:r>
        <w:t xml:space="preserve">2. Business Problem</w:t>
      </w:r>
    </w:p>
    <w:p>
      <w:pPr>
        <w:spacing w:after="100"/>
      </w:pPr>
      <w:r>
        <w:t xml:space="preserve">Organizations process large volumes of employee expense claims. Manual review is slow, inconsistent across reviewers, and difficult to audit. Simple rule engines cannot handle ambiguous cases (e.g., an unusual but legitimate expense description), and full manual review does not scale.</w:t>
      </w:r>
    </w:p>
    <w:p>
      <w:pPr>
        <w:pStyle w:val="Heading1"/>
      </w:pPr>
      <w:r>
        <w:t xml:space="preserve">3. Workflow / Architecture</w:t>
      </w:r>
    </w:p>
    <w:p>
      <w:pPr>
        <w:spacing w:after="150"/>
      </w:pPr>
      <w:r>
        <w:t xml:space="preserve">The expense approval workflow moves through the following states:</w:t>
      </w:r>
    </w:p>
    <w:p>
      <w:pPr>
        <w:pStyle w:val="ListParagraph"/>
        <w:numPr>
          <w:ilvl w:val="0"/>
          <w:numId w:val="2"/>
        </w:numPr>
        <w:spacing w:after="80"/>
      </w:pPr>
      <w:r>
        <w:t xml:space="preserve">Submitted — Employee submits an expense (amount, category, description, date, receipt). Input is validated and logged.</w:t>
      </w:r>
    </w:p>
    <w:p>
      <w:pPr>
        <w:pStyle w:val="ListParagraph"/>
        <w:numPr>
          <w:ilvl w:val="0"/>
          <w:numId w:val="2"/>
        </w:numPr>
        <w:spacing w:after="80"/>
      </w:pPr>
      <w:r>
        <w:t xml:space="preserve">Deterministic Checks — Rule-based engine evaluates amount thresholds, required fields, and policy limits.</w:t>
      </w:r>
    </w:p>
    <w:p>
      <w:pPr>
        <w:pStyle w:val="ListParagraph"/>
        <w:numPr>
          <w:ilvl w:val="0"/>
          <w:numId w:val="2"/>
        </w:numPr>
        <w:spacing w:after="80"/>
      </w:pPr>
      <w:r>
        <w:t xml:space="preserve">Auto-Approved — Expense is within limits and valid; approved instantly without AI involvement.</w:t>
      </w:r>
    </w:p>
    <w:p>
      <w:pPr>
        <w:pStyle w:val="ListParagraph"/>
        <w:numPr>
          <w:ilvl w:val="0"/>
          <w:numId w:val="2"/>
        </w:numPr>
        <w:spacing w:after="80"/>
      </w:pPr>
      <w:r>
        <w:t xml:space="preserve">Auto-Rejected — Expense fails a hard rule (e.g. missing receipt, over hard ceiling); rejected instantly.</w:t>
      </w:r>
    </w:p>
    <w:p>
      <w:pPr>
        <w:pStyle w:val="ListParagraph"/>
        <w:numPr>
          <w:ilvl w:val="0"/>
          <w:numId w:val="2"/>
        </w:numPr>
        <w:spacing w:after="80"/>
      </w:pPr>
      <w:r>
        <w:t xml:space="preserve">AI Review (LLM Judgment) — Ambiguous cases are evaluated by an LLM using structured output, returning a decision and a confidence score.</w:t>
      </w:r>
    </w:p>
    <w:p>
      <w:pPr>
        <w:pStyle w:val="ListParagraph"/>
        <w:numPr>
          <w:ilvl w:val="0"/>
          <w:numId w:val="2"/>
        </w:numPr>
        <w:spacing w:after="80"/>
      </w:pPr>
      <w:r>
        <w:t xml:space="preserve">Confidence-Based Routing — High-confidence LLM decisions are auto-applied; low-confidence decisions are routed to a human manager.</w:t>
      </w:r>
    </w:p>
    <w:p>
      <w:pPr>
        <w:pStyle w:val="ListParagraph"/>
        <w:numPr>
          <w:ilvl w:val="0"/>
          <w:numId w:val="2"/>
        </w:numPr>
        <w:spacing w:after="80"/>
      </w:pPr>
      <w:r>
        <w:t xml:space="preserve">Human Review — A manager makes the final call on flagged cases.</w:t>
      </w:r>
    </w:p>
    <w:p>
      <w:pPr>
        <w:pStyle w:val="ListParagraph"/>
        <w:numPr>
          <w:ilvl w:val="0"/>
          <w:numId w:val="2"/>
        </w:numPr>
        <w:spacing w:after="80"/>
      </w:pPr>
      <w:r>
        <w:t xml:space="preserve">Audit Logging — Every state transition, decision, and reason is recorded immutably, regardless of which path was taken.</w:t>
      </w:r>
    </w:p>
    <w:p>
      <w:pPr>
        <w:pStyle w:val="Heading1"/>
        <w:spacing w:before="200"/>
      </w:pPr>
      <w:r>
        <w:t xml:space="preserve">4.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3000"/>
            <w:shd w:fill="2F5496" w:val="clear"/>
          </w:tcPr>
          <w:p>
            <w:r>
              <w:rPr>
                <w:b/>
                <w:bCs/>
                <w:color w:val="FFFFFF"/>
              </w:rPr>
              <w:t xml:space="preserve">Layer</w:t>
            </w:r>
          </w:p>
        </w:tc>
        <w:tc>
          <w:tcPr>
            <w:tcW w:type="dxa" w:w="3000"/>
            <w:shd w:fill="2F5496" w:val="clear"/>
          </w:tcPr>
          <w:p>
            <w:r>
              <w:rPr>
                <w:b/>
                <w:bCs/>
                <w:color w:val="FFFFFF"/>
              </w:rPr>
              <w:t xml:space="preserve">Technology</w:t>
            </w:r>
          </w:p>
        </w:tc>
      </w:tr>
      <w:tr>
        <w:tc>
          <w:tcPr>
            <w:tcW w:type="dxa" w:w="3000"/>
          </w:tcPr>
          <w:p>
            <w:r>
              <w:t xml:space="preserve">API Layer</w:t>
            </w:r>
          </w:p>
        </w:tc>
        <w:tc>
          <w:tcPr>
            <w:tcW w:type="dxa" w:w="3000"/>
          </w:tcPr>
          <w:p>
            <w:r>
              <w:t xml:space="preserve">FastAPI (Python)</w:t>
            </w:r>
          </w:p>
        </w:tc>
      </w:tr>
      <w:tr>
        <w:tc>
          <w:tcPr>
            <w:tcW w:type="dxa" w:w="3000"/>
          </w:tcPr>
          <w:p>
            <w:r>
              <w:t xml:space="preserve">Data Validation</w:t>
            </w:r>
          </w:p>
        </w:tc>
        <w:tc>
          <w:tcPr>
            <w:tcW w:type="dxa" w:w="3000"/>
          </w:tcPr>
          <w:p>
            <w:r>
              <w:t xml:space="preserve">Pydantic</w:t>
            </w:r>
          </w:p>
        </w:tc>
      </w:tr>
      <w:tr>
        <w:tc>
          <w:tcPr>
            <w:tcW w:type="dxa" w:w="3000"/>
          </w:tcPr>
          <w:p>
            <w:r>
              <w:t xml:space="preserve">Database</w:t>
            </w:r>
          </w:p>
        </w:tc>
        <w:tc>
          <w:tcPr>
            <w:tcW w:type="dxa" w:w="3000"/>
          </w:tcPr>
          <w:p>
            <w:r>
              <w:t xml:space="preserve">PostgreSQL + SQLAlchemy</w:t>
            </w:r>
          </w:p>
        </w:tc>
      </w:tr>
      <w:tr>
        <w:tc>
          <w:tcPr>
            <w:tcW w:type="dxa" w:w="3000"/>
          </w:tcPr>
          <w:p>
            <w:r>
              <w:t xml:space="preserve">LLM Provider</w:t>
            </w:r>
          </w:p>
        </w:tc>
        <w:tc>
          <w:tcPr>
            <w:tcW w:type="dxa" w:w="3000"/>
          </w:tcPr>
          <w:p>
            <w:r>
              <w:t xml:space="preserve">Anthropic API (Claude) — structured/schema-constrained output</w:t>
            </w:r>
          </w:p>
        </w:tc>
      </w:tr>
      <w:tr>
        <w:tc>
          <w:tcPr>
            <w:tcW w:type="dxa" w:w="3000"/>
          </w:tcPr>
          <w:p>
            <w:r>
              <w:t xml:space="preserve">Workflow Logic</w:t>
            </w:r>
          </w:p>
        </w:tc>
        <w:tc>
          <w:tcPr>
            <w:tcW w:type="dxa" w:w="3000"/>
          </w:tcPr>
          <w:p>
            <w:r>
              <w:t xml:space="preserve">Custom state machine (deterministic rules engine)</w:t>
            </w:r>
          </w:p>
        </w:tc>
      </w:tr>
      <w:tr>
        <w:tc>
          <w:tcPr>
            <w:tcW w:type="dxa" w:w="3000"/>
          </w:tcPr>
          <w:p>
            <w:r>
              <w:t xml:space="preserve">Testing</w:t>
            </w:r>
          </w:p>
        </w:tc>
        <w:tc>
          <w:tcPr>
            <w:tcW w:type="dxa" w:w="3000"/>
          </w:tcPr>
          <w:p>
            <w:r>
              <w:t xml:space="preserve">pytest</w:t>
            </w:r>
          </w:p>
        </w:tc>
      </w:tr>
      <w:tr>
        <w:tc>
          <w:tcPr>
            <w:tcW w:type="dxa" w:w="3000"/>
          </w:tcPr>
          <w:p>
            <w:r>
              <w:t xml:space="preserve">Containerization</w:t>
            </w:r>
          </w:p>
        </w:tc>
        <w:tc>
          <w:tcPr>
            <w:tcW w:type="dxa" w:w="3000"/>
          </w:tcPr>
          <w:p>
            <w:r>
              <w:t xml:space="preserve">Docker, docker-compose</w:t>
            </w:r>
          </w:p>
        </w:tc>
      </w:tr>
      <w:tr>
        <w:tc>
          <w:tcPr>
            <w:tcW w:type="dxa" w:w="3000"/>
          </w:tcPr>
          <w:p>
            <w:r>
              <w:t xml:space="preserve">CI/CD</w:t>
            </w:r>
          </w:p>
        </w:tc>
        <w:tc>
          <w:tcPr>
            <w:tcW w:type="dxa" w:w="3000"/>
          </w:tcPr>
          <w:p>
            <w:r>
              <w:t xml:space="preserve">GitHub Actions</w:t>
            </w:r>
          </w:p>
        </w:tc>
      </w:tr>
      <w:tr>
        <w:tc>
          <w:tcPr>
            <w:tcW w:type="dxa" w:w="3000"/>
          </w:tcPr>
          <w:p>
            <w:r>
              <w:t xml:space="preserve">Observability</w:t>
            </w:r>
          </w:p>
        </w:tc>
        <w:tc>
          <w:tcPr>
            <w:tcW w:type="dxa" w:w="3000"/>
          </w:tcPr>
          <w:p>
            <w:r>
              <w:t xml:space="preserve">Structured audit logging (OpenTelemetry planned)</w:t>
            </w:r>
          </w:p>
        </w:tc>
      </w:tr>
      <w:tr>
        <w:tc>
          <w:tcPr>
            <w:tcW w:type="dxa" w:w="3000"/>
          </w:tcPr>
          <w:p>
            <w:r>
              <w:t xml:space="preserve">Dev Environment</w:t>
            </w:r>
          </w:p>
        </w:tc>
        <w:tc>
          <w:tcPr>
            <w:tcW w:type="dxa" w:w="3000"/>
          </w:tcPr>
          <w:p>
            <w:r>
              <w:t xml:space="preserve">VS Code (Python, Pylance, REST Client, SQLTools, Docker extensions)</w:t>
            </w:r>
          </w:p>
        </w:tc>
      </w:tr>
    </w:tbl>
    <w:p>
      <w:pPr>
        <w:pStyle w:val="Heading1"/>
        <w:spacing w:before="300"/>
      </w:pPr>
      <w:r>
        <w:t xml:space="preserve">5. Core Skills Demonstrated</w:t>
      </w:r>
    </w:p>
    <w:p>
      <w:pPr>
        <w:pStyle w:val="ListParagraph"/>
        <w:numPr>
          <w:ilvl w:val="0"/>
          <w:numId w:val="2"/>
        </w:numPr>
        <w:spacing w:after="80"/>
      </w:pPr>
      <w:r>
        <w:t xml:space="preserve">Structured-output LLM integration (schema-constrained decisions with confidence scoring)</w:t>
      </w:r>
    </w:p>
    <w:p>
      <w:pPr>
        <w:pStyle w:val="ListParagraph"/>
        <w:numPr>
          <w:ilvl w:val="0"/>
          <w:numId w:val="2"/>
        </w:numPr>
        <w:spacing w:after="80"/>
      </w:pPr>
      <w:r>
        <w:t xml:space="preserve">Deterministic vs. AI-driven decision design</w:t>
      </w:r>
    </w:p>
    <w:p>
      <w:pPr>
        <w:pStyle w:val="ListParagraph"/>
        <w:numPr>
          <w:ilvl w:val="0"/>
          <w:numId w:val="2"/>
        </w:numPr>
        <w:spacing w:after="80"/>
      </w:pPr>
      <w:r>
        <w:t xml:space="preserve">Human-in-the-loop approval workflows</w:t>
      </w:r>
    </w:p>
    <w:p>
      <w:pPr>
        <w:pStyle w:val="ListParagraph"/>
        <w:numPr>
          <w:ilvl w:val="0"/>
          <w:numId w:val="2"/>
        </w:numPr>
        <w:spacing w:after="80"/>
      </w:pPr>
      <w:r>
        <w:t xml:space="preserve">State machine design for business processes</w:t>
      </w:r>
    </w:p>
    <w:p>
      <w:pPr>
        <w:pStyle w:val="ListParagraph"/>
        <w:numPr>
          <w:ilvl w:val="0"/>
          <w:numId w:val="2"/>
        </w:numPr>
        <w:spacing w:after="80"/>
      </w:pPr>
      <w:r>
        <w:t xml:space="preserve">REST API design and testing</w:t>
      </w:r>
    </w:p>
    <w:p>
      <w:pPr>
        <w:pStyle w:val="ListParagraph"/>
        <w:numPr>
          <w:ilvl w:val="0"/>
          <w:numId w:val="2"/>
        </w:numPr>
        <w:spacing w:after="80"/>
      </w:pPr>
      <w:r>
        <w:t xml:space="preserve">Relational database modeling for workflow/audit state</w:t>
      </w:r>
    </w:p>
    <w:p>
      <w:pPr>
        <w:pStyle w:val="ListParagraph"/>
        <w:numPr>
          <w:ilvl w:val="0"/>
          <w:numId w:val="2"/>
        </w:numPr>
        <w:spacing w:after="80"/>
      </w:pPr>
      <w:r>
        <w:t xml:space="preserve">Reliability engineering (retries, rollback, failure handling)</w:t>
      </w:r>
    </w:p>
    <w:p>
      <w:pPr>
        <w:pStyle w:val="ListParagraph"/>
        <w:numPr>
          <w:ilvl w:val="0"/>
          <w:numId w:val="2"/>
        </w:numPr>
        <w:spacing w:after="80"/>
      </w:pPr>
      <w:r>
        <w:t xml:space="preserve">Evaluation methodology for LLM decision quality</w:t>
      </w:r>
    </w:p>
    <w:p>
      <w:pPr>
        <w:pStyle w:val="ListParagraph"/>
        <w:numPr>
          <w:ilvl w:val="0"/>
          <w:numId w:val="2"/>
        </w:numPr>
        <w:spacing w:after="80"/>
      </w:pPr>
      <w:r>
        <w:t xml:space="preserve">Containerized deployment and CI/CD</w:t>
      </w:r>
    </w:p>
    <w:p>
      <w:pPr>
        <w:pStyle w:val="Heading1"/>
        <w:spacing w:before="200"/>
      </w:pPr>
      <w:r>
        <w:t xml:space="preserve">6. Why This Project Matters</w:t>
      </w:r>
    </w:p>
    <w:p>
      <w:r>
        <w:t xml:space="preserve">This project intentionally avoids the common mistake of using an LLM for every decision. It shows the judgment required in real production systems: knowing when a rule is sufficient, when an LLM adds value, and when a human must remain in the loop — while keeping every decision traceable and auditable.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2026-09-15T06:02:39.825Z</dcterms:created>
  <dcterms:modified xsi:type="dcterms:W3CDTF">2026-09-15T06:02:39.837Z</dcterms:modified>
</cp:coreProperties>
</file>

<file path=docProps/custom.xml><?xml version="1.0" encoding="utf-8"?>
<Properties xmlns="http://schemas.openxmlformats.org/officeDocument/2006/custom-properties" xmlns:vt="http://schemas.openxmlformats.org/officeDocument/2006/docPropsVTypes"/>
</file>