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Lakeside Health Partners - Employee Benefits Summary 2026</w:t>
      </w:r>
    </w:p>
    <w:p>
      <w:r>
        <w:t>This summary describes the benefits available to permanent employees. It is fictional.</w:t>
      </w:r>
    </w:p>
    <w:p>
      <w:pPr>
        <w:pStyle w:val="Heading2"/>
      </w:pPr>
      <w:r>
        <w:t>Leave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Days per year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Annual leave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Pro-rated for part-time staff</w:t>
            </w:r>
          </w:p>
        </w:tc>
      </w:tr>
      <w:tr>
        <w:tc>
          <w:tcPr>
            <w:tcW w:type="dxa" w:w="2880"/>
          </w:tcPr>
          <w:p>
            <w:r>
              <w:t>Sick leave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Full pay</w:t>
            </w:r>
          </w:p>
        </w:tc>
      </w:tr>
      <w:tr>
        <w:tc>
          <w:tcPr>
            <w:tcW w:type="dxa" w:w="2880"/>
          </w:tcPr>
          <w:p>
            <w:r>
              <w:t>Parental leave</w:t>
            </w:r>
          </w:p>
        </w:tc>
        <w:tc>
          <w:tcPr>
            <w:tcW w:type="dxa" w:w="2880"/>
          </w:tcPr>
          <w:p>
            <w:r>
              <w:t>16 weeks</w:t>
            </w:r>
          </w:p>
        </w:tc>
        <w:tc>
          <w:tcPr>
            <w:tcW w:type="dxa" w:w="2880"/>
          </w:tcPr>
          <w:p>
            <w:r>
              <w:t>Primary caregiver</w:t>
            </w:r>
          </w:p>
        </w:tc>
      </w:tr>
      <w:tr>
        <w:tc>
          <w:tcPr>
            <w:tcW w:type="dxa" w:w="2880"/>
          </w:tcPr>
          <w:p>
            <w:r>
              <w:t>Study leave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Requires manager approval</w:t>
            </w:r>
          </w:p>
        </w:tc>
      </w:tr>
    </w:tbl>
    <w:p>
      <w:pPr>
        <w:pStyle w:val="Heading2"/>
      </w:pPr>
      <w:r>
        <w:t>Health cover</w:t>
      </w:r>
    </w:p>
    <w:p>
      <w:r>
        <w:t>All permanent employees are enrolled in the Lakeside Care plan from their first day. Dependants can be added within 60 days of the start date.</w:t>
      </w:r>
    </w:p>
    <w:p>
      <w:pPr>
        <w:pStyle w:val="Heading2"/>
      </w:pPr>
      <w:r>
        <w:t>Retirement</w:t>
      </w:r>
    </w:p>
    <w:p>
      <w:r>
        <w:t>Lakeside matches employee pension contributions up to 6 percent of base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