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Brightwater Financial Group - Travel and Expense Reimbursement Policy</w:t>
      </w:r>
    </w:p>
    <w:p>
      <w:r>
        <w:rPr>
          <w:i/>
        </w:rPr>
        <w:t>Fictional sample document created for testing the RAG chatbot. All organisations, people, figures and contact details in it are invented.</w:t>
      </w:r>
    </w:p>
    <w:p>
      <w:r>
        <w:t>Policy FIN-210, version 2026.1</w:t>
      </w:r>
    </w:p>
    <w:p>
      <w:pPr>
        <w:pStyle w:val="Heading1"/>
      </w:pPr>
      <w:r>
        <w:t>1. Purpose and scope</w:t>
      </w:r>
    </w:p>
    <w:p>
      <w:r>
        <w:t>This policy explains which business expenses Brightwater Financial Group reimburses, the limits that apply, and how to claim them. It applies to all employees and contractors who travel or spend money on company business.</w:t>
      </w:r>
    </w:p>
    <w:p>
      <w:pPr>
        <w:pStyle w:val="Heading1"/>
      </w:pPr>
      <w:r>
        <w:t>2. General principles</w:t>
      </w:r>
    </w:p>
    <w:p>
      <w:pPr>
        <w:pStyle w:val="ListBullet"/>
      </w:pPr>
      <w:r>
        <w:t>Spend company money as carefully as you would spend your own, and choose the most economical option that meets the business need.</w:t>
      </w:r>
    </w:p>
    <w:p>
      <w:pPr>
        <w:pStyle w:val="ListBullet"/>
      </w:pPr>
      <w:r>
        <w:t>Keep an itemized receipt for every expense of $25 or more. Hotel claims need the itemized hotel bill, not only the card receipt.</w:t>
      </w:r>
    </w:p>
    <w:p>
      <w:pPr>
        <w:pStyle w:val="ListBullet"/>
      </w:pPr>
      <w:r>
        <w:t>Expenses must be for a clear business purpose, which you state on the claim.</w:t>
      </w:r>
    </w:p>
    <w:p>
      <w:pPr>
        <w:pStyle w:val="Heading1"/>
      </w:pPr>
      <w:r>
        <w:t>3. Spending limits</w:t>
      </w:r>
    </w:p>
    <w:p>
      <w:r>
        <w:t>The following limits apply per person. Amounts above a limit are not reimbursed unless they were approved in advance in writing.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Expense</w:t>
            </w:r>
          </w:p>
        </w:tc>
        <w:tc>
          <w:tcPr>
            <w:tcW w:type="dxa" w:w="2880"/>
          </w:tcPr>
          <w:p>
            <w:r>
              <w:rPr>
                <w:b/>
              </w:rPr>
              <w:t>Limit</w:t>
            </w:r>
          </w:p>
        </w:tc>
        <w:tc>
          <w:tcPr>
            <w:tcW w:type="dxa" w:w="2880"/>
          </w:tcPr>
          <w:p>
            <w:r>
              <w:rPr>
                <w:b/>
              </w:rPr>
              <w:t>Notes</w:t>
            </w:r>
          </w:p>
        </w:tc>
      </w:tr>
      <w:tr>
        <w:tc>
          <w:tcPr>
            <w:tcW w:type="dxa" w:w="2880"/>
          </w:tcPr>
          <w:p>
            <w:r>
              <w:t>Meals, domestic travel</w:t>
            </w:r>
          </w:p>
        </w:tc>
        <w:tc>
          <w:tcPr>
            <w:tcW w:type="dxa" w:w="2880"/>
          </w:tcPr>
          <w:p>
            <w:r>
              <w:t>$75 per day</w:t>
            </w:r>
          </w:p>
        </w:tc>
        <w:tc>
          <w:tcPr>
            <w:tcW w:type="dxa" w:w="2880"/>
          </w:tcPr>
          <w:p>
            <w:r>
              <w:t>Includes tips. Alcohol is not reimbursed unless it is part of approved client entertainment.</w:t>
            </w:r>
          </w:p>
        </w:tc>
      </w:tr>
      <w:tr>
        <w:tc>
          <w:tcPr>
            <w:tcW w:type="dxa" w:w="2880"/>
          </w:tcPr>
          <w:p>
            <w:r>
              <w:t>Meals, international travel</w:t>
            </w:r>
          </w:p>
        </w:tc>
        <w:tc>
          <w:tcPr>
            <w:tcW w:type="dxa" w:w="2880"/>
          </w:tcPr>
          <w:p>
            <w:r>
              <w:t>$110 per day</w:t>
            </w:r>
          </w:p>
        </w:tc>
        <w:tc>
          <w:tcPr>
            <w:tcW w:type="dxa" w:w="2880"/>
          </w:tcPr>
          <w:p>
            <w:r>
              <w:t>Includes tips.</w:t>
            </w:r>
          </w:p>
        </w:tc>
      </w:tr>
      <w:tr>
        <w:tc>
          <w:tcPr>
            <w:tcW w:type="dxa" w:w="2880"/>
          </w:tcPr>
          <w:p>
            <w:r>
              <w:t>Hotel, standard cities</w:t>
            </w:r>
          </w:p>
        </w:tc>
        <w:tc>
          <w:tcPr>
            <w:tcW w:type="dxa" w:w="2880"/>
          </w:tcPr>
          <w:p>
            <w:r>
              <w:t>$250 per night</w:t>
            </w:r>
          </w:p>
        </w:tc>
        <w:tc>
          <w:tcPr>
            <w:tcW w:type="dxa" w:w="2880"/>
          </w:tcPr>
          <w:p>
            <w:r>
              <w:t>Before taxes.</w:t>
            </w:r>
          </w:p>
        </w:tc>
      </w:tr>
      <w:tr>
        <w:tc>
          <w:tcPr>
            <w:tcW w:type="dxa" w:w="2880"/>
          </w:tcPr>
          <w:p>
            <w:r>
              <w:t>Hotel, high-cost cities</w:t>
            </w:r>
          </w:p>
        </w:tc>
        <w:tc>
          <w:tcPr>
            <w:tcW w:type="dxa" w:w="2880"/>
          </w:tcPr>
          <w:p>
            <w:r>
              <w:t>$350 per night</w:t>
            </w:r>
          </w:p>
        </w:tc>
        <w:tc>
          <w:tcPr>
            <w:tcW w:type="dxa" w:w="2880"/>
          </w:tcPr>
          <w:p>
            <w:r>
              <w:t>New York, San Francisco, London, Zurich and Singapore.</w:t>
            </w:r>
          </w:p>
        </w:tc>
      </w:tr>
      <w:tr>
        <w:tc>
          <w:tcPr>
            <w:tcW w:type="dxa" w:w="2880"/>
          </w:tcPr>
          <w:p>
            <w:r>
              <w:t>Personal car mileage</w:t>
            </w:r>
          </w:p>
        </w:tc>
        <w:tc>
          <w:tcPr>
            <w:tcW w:type="dxa" w:w="2880"/>
          </w:tcPr>
          <w:p>
            <w:r>
              <w:t>$0.67 per mile</w:t>
            </w:r>
          </w:p>
        </w:tc>
        <w:tc>
          <w:tcPr>
            <w:tcW w:type="dxa" w:w="2880"/>
          </w:tcPr>
          <w:p>
            <w:r>
              <w:t>Normal commuting is not reimbursed.</w:t>
            </w:r>
          </w:p>
        </w:tc>
      </w:tr>
      <w:tr>
        <w:tc>
          <w:tcPr>
            <w:tcW w:type="dxa" w:w="2880"/>
          </w:tcPr>
          <w:p>
            <w:r>
              <w:t>Client entertainment</w:t>
            </w:r>
          </w:p>
        </w:tc>
        <w:tc>
          <w:tcPr>
            <w:tcW w:type="dxa" w:w="2880"/>
          </w:tcPr>
          <w:p>
            <w:r>
              <w:t>$150 per person</w:t>
            </w:r>
          </w:p>
        </w:tc>
        <w:tc>
          <w:tcPr>
            <w:tcW w:type="dxa" w:w="2880"/>
          </w:tcPr>
          <w:p>
            <w:r>
              <w:t>Events costing more than $1,000 in total need pre-approval.</w:t>
            </w:r>
          </w:p>
        </w:tc>
      </w:tr>
      <w:tr>
        <w:tc>
          <w:tcPr>
            <w:tcW w:type="dxa" w:w="2880"/>
          </w:tcPr>
          <w:p>
            <w:r>
              <w:t>Home internet</w:t>
            </w:r>
          </w:p>
        </w:tc>
        <w:tc>
          <w:tcPr>
            <w:tcW w:type="dxa" w:w="2880"/>
          </w:tcPr>
          <w:p>
            <w:r>
              <w:t>$50 per month</w:t>
            </w:r>
          </w:p>
        </w:tc>
        <w:tc>
          <w:tcPr>
            <w:tcW w:type="dxa" w:w="2880"/>
          </w:tcPr>
          <w:p>
            <w:r>
              <w:t>Fully remote employees only.</w:t>
            </w:r>
          </w:p>
        </w:tc>
      </w:tr>
    </w:tbl>
    <w:p>
      <w:pPr>
        <w:pStyle w:val="Heading1"/>
      </w:pPr>
      <w:r>
        <w:t>4. Air and rail travel</w:t>
      </w:r>
    </w:p>
    <w:p>
      <w:pPr>
        <w:pStyle w:val="ListBullet"/>
      </w:pPr>
      <w:r>
        <w:t>Book economy class for flights scheduled under 6 hours.</w:t>
      </w:r>
    </w:p>
    <w:p>
      <w:pPr>
        <w:pStyle w:val="ListBullet"/>
      </w:pPr>
      <w:r>
        <w:t>Premium economy is allowed for flights scheduled at 6 hours or more.</w:t>
      </w:r>
    </w:p>
    <w:p>
      <w:pPr>
        <w:pStyle w:val="ListBullet"/>
      </w:pPr>
      <w:r>
        <w:t>Business class needs written approval from the Chief Financial Officer.</w:t>
      </w:r>
    </w:p>
    <w:p>
      <w:pPr>
        <w:pStyle w:val="ListBullet"/>
      </w:pPr>
      <w:r>
        <w:t>Book through the TripDesk travel portal at least 14 days before travel whenever possible.</w:t>
      </w:r>
    </w:p>
    <w:p>
      <w:pPr>
        <w:pStyle w:val="ListBullet"/>
      </w:pPr>
      <w:r>
        <w:t>For trips under 300 miles, take the train where a reasonable rail service exists.</w:t>
      </w:r>
    </w:p>
    <w:p>
      <w:pPr>
        <w:pStyle w:val="Heading1"/>
      </w:pPr>
      <w:r>
        <w:t>5. Approvals</w:t>
      </w:r>
    </w:p>
    <w:p>
      <w:r>
        <w:t>Expense claims are approved according to the total amount of the claim:</w:t>
      </w:r>
    </w:p>
    <w:p>
      <w:pPr>
        <w:pStyle w:val="ListBullet"/>
      </w:pPr>
      <w:r>
        <w:t>Under $1,000: your line manager.</w:t>
      </w:r>
    </w:p>
    <w:p>
      <w:pPr>
        <w:pStyle w:val="ListBullet"/>
      </w:pPr>
      <w:r>
        <w:t>From $1,000 to $5,000: your department head.</w:t>
      </w:r>
    </w:p>
    <w:p>
      <w:pPr>
        <w:pStyle w:val="ListBullet"/>
      </w:pPr>
      <w:r>
        <w:t>Over $5,000: the Chief Financial Officer.</w:t>
      </w:r>
    </w:p>
    <w:p>
      <w:r>
        <w:t>All international travel needs pre-approval from your department head before you book.</w:t>
      </w:r>
    </w:p>
    <w:p>
      <w:pPr>
        <w:pStyle w:val="Heading1"/>
      </w:pPr>
      <w:r>
        <w:t>6. Submitting a claim</w:t>
      </w:r>
    </w:p>
    <w:p>
      <w:r>
        <w:t>Submit claims in the ExpensePoint system within 30 days of the expense. Approved claims are reimbursed within 10 business days through payroll direct deposit. Claims submitted more than 90 days after the expense are not reimbursed.</w:t>
      </w:r>
    </w:p>
    <w:p>
      <w:pPr>
        <w:pStyle w:val="Heading1"/>
      </w:pPr>
      <w:r>
        <w:t>7. Corporate card</w:t>
      </w:r>
    </w:p>
    <w:p>
      <w:r>
        <w:t>Corporate cards have a monthly limit of $10,000 and may be used for business expenses only. Any personal charge made by mistake must be repaid within 15 days. Cardholders reconcile their statement in ExpensePoint by the fifth business day of each month.</w:t>
      </w:r>
    </w:p>
    <w:p>
      <w:pPr>
        <w:pStyle w:val="Heading1"/>
      </w:pPr>
      <w:r>
        <w:t>8. Expenses that are not reimbursed</w:t>
      </w:r>
    </w:p>
    <w:p>
      <w:pPr>
        <w:pStyle w:val="ListBullet"/>
      </w:pPr>
      <w:r>
        <w:t>Personal entertainment, in-room movies and hotel minibar charges.</w:t>
      </w:r>
    </w:p>
    <w:p>
      <w:pPr>
        <w:pStyle w:val="ListBullet"/>
      </w:pPr>
      <w:r>
        <w:t>Traffic fines, parking tickets and penalties.</w:t>
      </w:r>
    </w:p>
    <w:p>
      <w:pPr>
        <w:pStyle w:val="ListBullet"/>
      </w:pPr>
      <w:r>
        <w:t>Seat or class upgrades that were not approved in advance.</w:t>
      </w:r>
    </w:p>
    <w:p>
      <w:pPr>
        <w:pStyle w:val="ListBullet"/>
      </w:pPr>
      <w:r>
        <w:t>Travel costs for spouses, partners or family members.</w:t>
      </w:r>
    </w:p>
    <w:p>
      <w:pPr>
        <w:pStyle w:val="ListBullet"/>
      </w:pPr>
      <w:r>
        <w:t>Gym fees, spa services and loyalty program membership fees.</w:t>
      </w:r>
    </w:p>
    <w:p>
      <w:pPr>
        <w:pStyle w:val="Heading1"/>
      </w:pPr>
      <w:r>
        <w:t>9. Policy violations</w:t>
      </w:r>
    </w:p>
    <w:p>
      <w:r>
        <w:t>Claims that break this policy are returned to the employee. Repeated violations can lead to the suspension of the corporate card. Deliberately false claims are treated as fraud and can lead to dismissal.</w:t>
      </w:r>
    </w:p>
    <w:p>
      <w:pPr>
        <w:pStyle w:val="Heading1"/>
      </w:pPr>
      <w:r>
        <w:t>10. Document control</w:t>
      </w:r>
    </w:p>
    <w:p>
      <w:r>
        <w:t>Policy owner: Chief Financial Officer. Effective date: 1 January 2026. Next review: December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Brightwater Financial Group - Travel and Expense Reimbursement Policy</dc:title>
  <dc:subject/>
  <dc:creator>RAG chatbot sample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