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6E6E"/>
          <w:sz w:val="34"/>
          <w:szCs w:val="34"/>
        </w:rPr>
        <w:t xml:space="preserve">Pristyn Care Health — Patient Funnel Analysis</w:t>
      </w:r>
    </w:p>
    <w:p>
      <w:pPr>
        <w:spacing w:after="160"/>
      </w:pPr>
      <w:r>
        <w:rPr>
          <w:rFonts w:ascii="Calibri" w:cs="Calibri" w:eastAsia="Calibri" w:hAnsi="Calibri"/>
          <w:color w:val="5A5A5A"/>
          <w:sz w:val="19"/>
          <w:szCs w:val="19"/>
        </w:rPr>
        <w:t xml:space="preserve">Milestone 3: Deep-Dive Analysis  |  Yashwanth J V Nayak · Data Analyst Intern · Cynaris Solutions</w:t>
      </w:r>
    </w:p>
    <w:p>
      <w:pPr>
        <w:keepNext/>
        <w:pBdr>
          <w:bottom w:val="single" w:color="0F6E6E" w:sz="4" w:space="2"/>
        </w:pBdr>
        <w:spacing w:after="110" w:before="260"/>
      </w:pPr>
      <w:r>
        <w:rPr>
          <w:rFonts w:ascii="Calibri" w:cs="Calibri" w:eastAsia="Calibri" w:hAnsi="Calibri"/>
          <w:b/>
          <w:bCs/>
          <w:color w:val="0F6E6E"/>
          <w:sz w:val="25"/>
          <w:szCs w:val="25"/>
        </w:rPr>
        <w:t xml:space="preserve">1. Headline Findings</w:t>
      </w:r>
    </w:p>
    <w:p>
      <w:pPr>
        <w:pStyle w:val="ListParagraph"/>
        <w:numPr>
          <w:ilvl w:val="0"/>
          <w:numId w:val="2"/>
        </w:numPr>
        <w:spacing w:after="80"/>
      </w:pPr>
      <w:r>
        <w:rPr>
          <w:rFonts w:ascii="Calibri" w:cs="Calibri" w:eastAsia="Calibri" w:hAnsi="Calibri"/>
          <w:b/>
          <w:bCs/>
          <w:color w:val="1A1A1A"/>
          <w:sz w:val="20"/>
          <w:szCs w:val="20"/>
        </w:rPr>
        <w:t xml:space="preserve">Specialty is the one statistically significant driver of no-shows </w:t>
      </w:r>
      <w:r>
        <w:rPr>
          <w:rFonts w:ascii="Calibri" w:cs="Calibri" w:eastAsia="Calibri" w:hAnsi="Calibri"/>
          <w:color w:val="1A1A1A"/>
          <w:sz w:val="20"/>
          <w:szCs w:val="20"/>
        </w:rPr>
        <w:t xml:space="preserve">(chi-square p &lt; 0.0001); department, visit reason, insurance, age group, lead time, appointment hour and wait time are not.</w:t>
      </w:r>
    </w:p>
    <w:p>
      <w:pPr>
        <w:pStyle w:val="ListParagraph"/>
        <w:numPr>
          <w:ilvl w:val="0"/>
          <w:numId w:val="2"/>
        </w:numPr>
        <w:spacing w:after="80"/>
      </w:pPr>
      <w:r>
        <w:rPr>
          <w:rFonts w:ascii="Calibri" w:cs="Calibri" w:eastAsia="Calibri" w:hAnsi="Calibri"/>
          <w:b/>
          <w:bCs/>
          <w:color w:val="1A1A1A"/>
          <w:sz w:val="20"/>
          <w:szCs w:val="20"/>
        </w:rPr>
        <w:t xml:space="preserve">Top-3 leakage points: General Medicine (22.5%), Dermatology (20.5%), Ophthalmology (19.9%). </w:t>
      </w:r>
      <w:r>
        <w:rPr>
          <w:rFonts w:ascii="Calibri" w:cs="Calibri" w:eastAsia="Calibri" w:hAnsi="Calibri"/>
          <w:color w:val="1A1A1A"/>
          <w:sz w:val="20"/>
          <w:szCs w:val="20"/>
        </w:rPr>
        <w:t xml:space="preserve">They hold 39.0% of bookings but 50.3% of all no-shows. Cardiology and Gynecology sit at 9.5%.</w:t>
      </w:r>
    </w:p>
    <w:p>
      <w:pPr>
        <w:pStyle w:val="ListParagraph"/>
        <w:numPr>
          <w:ilvl w:val="0"/>
          <w:numId w:val="2"/>
        </w:numPr>
        <w:spacing w:after="80"/>
      </w:pPr>
      <w:r>
        <w:rPr>
          <w:rFonts w:ascii="Calibri" w:cs="Calibri" w:eastAsia="Calibri" w:hAnsi="Calibri"/>
          <w:b/>
          <w:bCs/>
          <w:color w:val="1A1A1A"/>
          <w:sz w:val="20"/>
          <w:szCs w:val="20"/>
        </w:rPr>
        <w:t xml:space="preserve">Overall, 16.2% of booked appointments (324 of 2,000) are lost </w:t>
      </w:r>
      <w:r>
        <w:rPr>
          <w:rFonts w:ascii="Calibri" w:cs="Calibri" w:eastAsia="Calibri" w:hAnsi="Calibri"/>
          <w:color w:val="1A1A1A"/>
          <w:sz w:val="20"/>
          <w:szCs w:val="20"/>
        </w:rPr>
        <w:t xml:space="preserve">between booking and attendance. Every attended patient completed a consultation.</w:t>
      </w:r>
    </w:p>
    <w:p>
      <w:pPr>
        <w:pStyle w:val="ListParagraph"/>
        <w:numPr>
          <w:ilvl w:val="0"/>
          <w:numId w:val="2"/>
        </w:numPr>
        <w:spacing w:after="80"/>
      </w:pPr>
      <w:r>
        <w:rPr>
          <w:rFonts w:ascii="Calibri" w:cs="Calibri" w:eastAsia="Calibri" w:hAnsi="Calibri"/>
          <w:b/>
          <w:bCs/>
          <w:color w:val="1A1A1A"/>
          <w:sz w:val="20"/>
          <w:szCs w:val="20"/>
        </w:rPr>
        <w:t xml:space="preserve">May 2025 is an anomaly: </w:t>
      </w:r>
      <w:r>
        <w:rPr>
          <w:rFonts w:ascii="Calibri" w:cs="Calibri" w:eastAsia="Calibri" w:hAnsi="Calibri"/>
          <w:color w:val="1A1A1A"/>
          <w:sz w:val="20"/>
          <w:szCs w:val="20"/>
        </w:rPr>
        <w:t xml:space="preserve">26.0% no-show vs. about 15.2% in other months (p = 0.0002). The data does not explain why; it needs a business check.</w:t>
      </w:r>
    </w:p>
    <w:p>
      <w:pPr>
        <w:keepNext/>
        <w:pBdr>
          <w:bottom w:val="single" w:color="0F6E6E" w:sz="4" w:space="2"/>
        </w:pBdr>
        <w:spacing w:after="110" w:before="260"/>
      </w:pPr>
      <w:r>
        <w:rPr>
          <w:rFonts w:ascii="Calibri" w:cs="Calibri" w:eastAsia="Calibri" w:hAnsi="Calibri"/>
          <w:b/>
          <w:bCs/>
          <w:color w:val="0F6E6E"/>
          <w:sz w:val="25"/>
          <w:szCs w:val="25"/>
        </w:rPr>
        <w:t xml:space="preserve">2. Scope: What the Data Can Support</w:t>
      </w:r>
    </w:p>
    <w:p>
      <w:pPr>
        <w:spacing w:after="120"/>
      </w:pPr>
      <w:r>
        <w:rPr>
          <w:rFonts w:ascii="Calibri" w:cs="Calibri" w:eastAsia="Calibri" w:hAnsi="Calibri"/>
          <w:color w:val="1A1A1A"/>
          <w:sz w:val="20"/>
          <w:szCs w:val="20"/>
        </w:rPr>
        <w:t xml:space="preserve">The appointments file (2,000 rows, 1,800 patients, Jan 2025 – Jan 2026) supports a booking → attended → consultation funnel. The brief's other stages (ad click, enquiry, diagnostics, surgery) are not present as fields, and follow-up appears only as a visit reason. The funnel below is therefore a partial funnel, not the full 7-stage view.</w:t>
      </w:r>
    </w:p>
    <w:p>
      <w:pPr>
        <w:spacing w:after="80" w:before="80"/>
        <w:jc w:val="center"/>
      </w:pPr>
      <w:r>
        <w:drawing>
          <wp:inline distT="0" distB="0" distL="0" distR="0">
            <wp:extent cx="4476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924050"/>
                    </a:xfrm>
                    <a:prstGeom prst="rect">
                      <a:avLst/>
                    </a:prstGeom>
                  </pic:spPr>
                </pic:pic>
              </a:graphicData>
            </a:graphic>
          </wp:inline>
        </w:drawing>
      </w:r>
    </w:p>
    <w:p>
      <w:pPr>
        <w:keepNext/>
        <w:pBdr>
          <w:bottom w:val="single" w:color="0F6E6E" w:sz="4" w:space="2"/>
        </w:pBdr>
        <w:spacing w:after="110" w:before="260"/>
      </w:pPr>
      <w:r>
        <w:rPr>
          <w:rFonts w:ascii="Calibri" w:cs="Calibri" w:eastAsia="Calibri" w:hAnsi="Calibri"/>
          <w:b/>
          <w:bCs/>
          <w:color w:val="0F6E6E"/>
          <w:sz w:val="25"/>
          <w:szCs w:val="25"/>
        </w:rPr>
        <w:t xml:space="preserve">3. Segmentation and Significance Tests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2000"/>
        <w:gridCol w:w="2700"/>
      </w:tblGrid>
      <w:tr>
        <w:tc>
          <w:tcPr>
            <w:tcW w:type="dxa" w:w="27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Segment</w:t>
            </w:r>
          </w:p>
        </w:tc>
        <w:tc>
          <w:tcPr>
            <w:tcW w:type="dxa" w:w="13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Chi-square</w:t>
            </w:r>
          </w:p>
        </w:tc>
        <w:tc>
          <w:tcPr>
            <w:tcW w:type="dxa" w:w="13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d.o.f.</w:t>
            </w:r>
          </w:p>
        </w:tc>
        <w:tc>
          <w:tcPr>
            <w:tcW w:type="dxa" w:w="20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p-value</w:t>
            </w:r>
          </w:p>
        </w:tc>
        <w:tc>
          <w:tcPr>
            <w:tcW w:type="dxa" w:w="27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Significant at 5%?</w:t>
            </w:r>
          </w:p>
        </w:tc>
      </w:tr>
      <w:tr>
        <w:tc>
          <w:tcPr>
            <w:tcW w:type="dxa" w:w="2700"/>
            <w:tcMar>
              <w:top w:type="dxa" w:w="80"/>
              <w:left w:type="dxa" w:w="110"/>
              <w:bottom w:type="dxa" w:w="80"/>
              <w:right w:type="dxa" w:w="110"/>
            </w:tcMar>
            <w:vAlign w:val="center"/>
          </w:tcPr>
          <w:p>
            <w:r>
              <w:rPr>
                <w:rFonts w:ascii="Calibri" w:cs="Calibri" w:eastAsia="Calibri" w:hAnsi="Calibri"/>
                <w:b/>
                <w:bCs/>
                <w:color w:val="1A1A1A"/>
                <w:sz w:val="17"/>
                <w:szCs w:val="17"/>
              </w:rPr>
              <w:t xml:space="preserve">Specialty</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32.61</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7</w:t>
            </w:r>
          </w:p>
        </w:tc>
        <w:tc>
          <w:tcPr>
            <w:tcW w:type="dxa" w:w="2000"/>
            <w:tcMar>
              <w:top w:type="dxa" w:w="80"/>
              <w:left w:type="dxa" w:w="110"/>
              <w:bottom w:type="dxa" w:w="80"/>
              <w:right w:type="dxa" w:w="110"/>
            </w:tcMar>
            <w:vAlign w:val="center"/>
          </w:tcPr>
          <w:p>
            <w:r>
              <w:rPr>
                <w:rFonts w:ascii="Calibri" w:cs="Calibri" w:eastAsia="Calibri" w:hAnsi="Calibri"/>
                <w:b/>
                <w:bCs/>
                <w:color w:val="1A1A1A"/>
                <w:sz w:val="17"/>
                <w:szCs w:val="17"/>
              </w:rPr>
              <w:t xml:space="preserve">0.00003</w:t>
            </w:r>
          </w:p>
        </w:tc>
        <w:tc>
          <w:tcPr>
            <w:tcW w:type="dxa" w:w="2700"/>
            <w:tcMar>
              <w:top w:type="dxa" w:w="80"/>
              <w:left w:type="dxa" w:w="110"/>
              <w:bottom w:type="dxa" w:w="80"/>
              <w:right w:type="dxa" w:w="110"/>
            </w:tcMar>
            <w:vAlign w:val="center"/>
          </w:tcPr>
          <w:p>
            <w:r>
              <w:rPr>
                <w:rFonts w:ascii="Calibri" w:cs="Calibri" w:eastAsia="Calibri" w:hAnsi="Calibri"/>
                <w:b/>
                <w:bCs/>
                <w:color w:val="B23A2E"/>
                <w:sz w:val="17"/>
                <w:szCs w:val="17"/>
              </w:rPr>
              <w:t xml:space="preserve">Yes</w:t>
            </w:r>
          </w:p>
        </w:tc>
      </w:tr>
      <w:tr>
        <w:tc>
          <w:tcPr>
            <w:tcW w:type="dxa" w:w="27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Patient age group</w:t>
            </w:r>
          </w:p>
        </w:tc>
        <w:tc>
          <w:tcPr>
            <w:tcW w:type="dxa" w:w="13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7.45</w:t>
            </w:r>
          </w:p>
        </w:tc>
        <w:tc>
          <w:tcPr>
            <w:tcW w:type="dxa" w:w="13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4</w:t>
            </w:r>
          </w:p>
        </w:tc>
        <w:tc>
          <w:tcPr>
            <w:tcW w:type="dxa" w:w="20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0.114</w:t>
            </w:r>
          </w:p>
        </w:tc>
        <w:tc>
          <w:tcPr>
            <w:tcW w:type="dxa" w:w="27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No</w:t>
            </w:r>
          </w:p>
        </w:tc>
      </w:tr>
      <w:tr>
        <w:tc>
          <w:tcPr>
            <w:tcW w:type="dxa" w:w="27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Appointment hour band</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2.65</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w:t>
            </w:r>
          </w:p>
        </w:tc>
        <w:tc>
          <w:tcPr>
            <w:tcW w:type="dxa" w:w="20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0.266</w:t>
            </w:r>
          </w:p>
        </w:tc>
        <w:tc>
          <w:tcPr>
            <w:tcW w:type="dxa" w:w="27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No</w:t>
            </w:r>
          </w:p>
        </w:tc>
      </w:tr>
      <w:tr>
        <w:tc>
          <w:tcPr>
            <w:tcW w:type="dxa" w:w="27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Booking lead time</w:t>
            </w:r>
          </w:p>
        </w:tc>
        <w:tc>
          <w:tcPr>
            <w:tcW w:type="dxa" w:w="13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2.29</w:t>
            </w:r>
          </w:p>
        </w:tc>
        <w:tc>
          <w:tcPr>
            <w:tcW w:type="dxa" w:w="13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3</w:t>
            </w:r>
          </w:p>
        </w:tc>
        <w:tc>
          <w:tcPr>
            <w:tcW w:type="dxa" w:w="20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0.515</w:t>
            </w:r>
          </w:p>
        </w:tc>
        <w:tc>
          <w:tcPr>
            <w:tcW w:type="dxa" w:w="27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No</w:t>
            </w:r>
          </w:p>
        </w:tc>
      </w:tr>
      <w:tr>
        <w:tc>
          <w:tcPr>
            <w:tcW w:type="dxa" w:w="27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Department</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2.13</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3</w:t>
            </w:r>
          </w:p>
        </w:tc>
        <w:tc>
          <w:tcPr>
            <w:tcW w:type="dxa" w:w="20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0.545</w:t>
            </w:r>
          </w:p>
        </w:tc>
        <w:tc>
          <w:tcPr>
            <w:tcW w:type="dxa" w:w="27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No</w:t>
            </w:r>
          </w:p>
        </w:tc>
      </w:tr>
      <w:tr>
        <w:tc>
          <w:tcPr>
            <w:tcW w:type="dxa" w:w="27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Visit reason</w:t>
            </w:r>
          </w:p>
        </w:tc>
        <w:tc>
          <w:tcPr>
            <w:tcW w:type="dxa" w:w="13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2.97</w:t>
            </w:r>
          </w:p>
        </w:tc>
        <w:tc>
          <w:tcPr>
            <w:tcW w:type="dxa" w:w="13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4</w:t>
            </w:r>
          </w:p>
        </w:tc>
        <w:tc>
          <w:tcPr>
            <w:tcW w:type="dxa" w:w="20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0.564</w:t>
            </w:r>
          </w:p>
        </w:tc>
        <w:tc>
          <w:tcPr>
            <w:tcW w:type="dxa" w:w="27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No</w:t>
            </w:r>
          </w:p>
        </w:tc>
      </w:tr>
      <w:tr>
        <w:tc>
          <w:tcPr>
            <w:tcW w:type="dxa" w:w="27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Insurance type</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1.18</w:t>
            </w:r>
          </w:p>
        </w:tc>
        <w:tc>
          <w:tcPr>
            <w:tcW w:type="dxa" w:w="13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3</w:t>
            </w:r>
          </w:p>
        </w:tc>
        <w:tc>
          <w:tcPr>
            <w:tcW w:type="dxa" w:w="20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0.757</w:t>
            </w:r>
          </w:p>
        </w:tc>
        <w:tc>
          <w:tcPr>
            <w:tcW w:type="dxa" w:w="27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No</w:t>
            </w:r>
          </w:p>
        </w:tc>
      </w:tr>
    </w:tbl>
    <w:p>
      <w:pPr>
        <w:spacing w:after="120" w:before="60"/>
      </w:pPr>
      <w:r>
        <w:rPr>
          <w:rFonts w:ascii="Calibri" w:cs="Calibri" w:eastAsia="Calibri" w:hAnsi="Calibri"/>
          <w:i/>
          <w:iCs/>
          <w:color w:val="5A5A5A"/>
          <w:sz w:val="17"/>
          <w:szCs w:val="17"/>
        </w:rPr>
        <w:t xml:space="preserve">Wait time (r = 0.014, p = 0.54) and lead days (r = 0.009, p = 0.68) are also uncorrelated with no-show. Prior no-show history did not predict a repeat no-show (15.2% vs 12.6%, Fisher p = 0.78, only 200 repeat bookings).</w:t>
      </w:r>
    </w:p>
    <w:p>
      <w:pPr>
        <w:spacing w:after="120"/>
      </w:pPr>
      <w:r>
        <w:rPr>
          <w:rFonts w:ascii="Calibri" w:cs="Calibri" w:eastAsia="Calibri" w:hAnsi="Calibri"/>
          <w:color w:val="1A1A1A"/>
          <w:sz w:val="20"/>
          <w:szCs w:val="20"/>
        </w:rPr>
        <w:t xml:space="preserve">A logistic regression controlling for age, insurance, department, lead time and wait time keeps the specialty effect (every specialty except Gynecology and Orthopedics is significantly higher than Cardiology). Its pseudo-R² is only 0.025, so these variables describe where leakage concentrates; they are not a reliable no-show predictor.</w:t>
      </w:r>
    </w:p>
    <w:p>
      <w:pPr>
        <w:keepNext/>
        <w:pBdr>
          <w:bottom w:val="single" w:color="0F6E6E" w:sz="4" w:space="2"/>
        </w:pBdr>
        <w:spacing w:after="110" w:before="260"/>
      </w:pPr>
      <w:r>
        <w:rPr>
          <w:rFonts w:ascii="Calibri" w:cs="Calibri" w:eastAsia="Calibri" w:hAnsi="Calibri"/>
          <w:b/>
          <w:bCs/>
          <w:color w:val="0F6E6E"/>
          <w:sz w:val="25"/>
          <w:szCs w:val="25"/>
        </w:rPr>
        <w:t xml:space="preserve">4. Top-3 Leakage Points</w:t>
      </w:r>
    </w:p>
    <w:p>
      <w:pPr>
        <w:spacing w:after="80" w:before="80"/>
        <w:jc w:val="center"/>
      </w:pPr>
      <w:r>
        <w:drawing>
          <wp:inline distT="0" distB="0" distL="0" distR="0">
            <wp:extent cx="4476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33625"/>
                    </a:xfrm>
                    <a:prstGeom prst="rect">
                      <a:avLst/>
                    </a:prstGeom>
                  </pic:spPr>
                </pic:pic>
              </a:graphicData>
            </a:graphic>
          </wp:inline>
        </w:drawing>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000"/>
        <w:gridCol w:w="2600"/>
      </w:tblGrid>
      <w:tr>
        <w:tc>
          <w:tcPr>
            <w:tcW w:type="dxa" w:w="24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Specialty</w:t>
            </w:r>
          </w:p>
        </w:tc>
        <w:tc>
          <w:tcPr>
            <w:tcW w:type="dxa" w:w="15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Appts</w:t>
            </w:r>
          </w:p>
        </w:tc>
        <w:tc>
          <w:tcPr>
            <w:tcW w:type="dxa" w:w="15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No-show %</w:t>
            </w:r>
          </w:p>
        </w:tc>
        <w:tc>
          <w:tcPr>
            <w:tcW w:type="dxa" w:w="20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95% CI</w:t>
            </w:r>
          </w:p>
        </w:tc>
        <w:tc>
          <w:tcPr>
            <w:tcW w:type="dxa" w:w="2600"/>
            <w:shd w:fill="0F6E6E" w:val="clear"/>
            <w:tcMar>
              <w:top w:type="dxa" w:w="80"/>
              <w:left w:type="dxa" w:w="110"/>
              <w:bottom w:type="dxa" w:w="80"/>
              <w:right w:type="dxa" w:w="110"/>
            </w:tcMar>
            <w:vAlign w:val="center"/>
          </w:tcPr>
          <w:p>
            <w:r>
              <w:rPr>
                <w:rFonts w:ascii="Calibri" w:cs="Calibri" w:eastAsia="Calibri" w:hAnsi="Calibri"/>
                <w:b/>
                <w:bCs/>
                <w:color w:val="FFFFFF"/>
                <w:sz w:val="17"/>
                <w:szCs w:val="17"/>
              </w:rPr>
              <w:t xml:space="preserve">Bonferroni p (vs rest)</w:t>
            </w:r>
          </w:p>
        </w:tc>
      </w:tr>
      <w:tr>
        <w:tc>
          <w:tcPr>
            <w:tcW w:type="dxa" w:w="2400"/>
            <w:tcMar>
              <w:top w:type="dxa" w:w="80"/>
              <w:left w:type="dxa" w:w="110"/>
              <w:bottom w:type="dxa" w:w="80"/>
              <w:right w:type="dxa" w:w="110"/>
            </w:tcMar>
            <w:vAlign w:val="center"/>
          </w:tcPr>
          <w:p>
            <w:r>
              <w:rPr>
                <w:rFonts w:ascii="Calibri" w:cs="Calibri" w:eastAsia="Calibri" w:hAnsi="Calibri"/>
                <w:b/>
                <w:bCs/>
                <w:color w:val="1A1A1A"/>
                <w:sz w:val="17"/>
                <w:szCs w:val="17"/>
              </w:rPr>
              <w:t xml:space="preserve">General Medicine</w:t>
            </w:r>
          </w:p>
        </w:tc>
        <w:tc>
          <w:tcPr>
            <w:tcW w:type="dxa" w:w="15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240</w:t>
            </w:r>
          </w:p>
        </w:tc>
        <w:tc>
          <w:tcPr>
            <w:tcW w:type="dxa" w:w="15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22.5%</w:t>
            </w:r>
          </w:p>
        </w:tc>
        <w:tc>
          <w:tcPr>
            <w:tcW w:type="dxa" w:w="20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17.7 – 28.2</w:t>
            </w:r>
          </w:p>
        </w:tc>
        <w:tc>
          <w:tcPr>
            <w:tcW w:type="dxa" w:w="2600"/>
            <w:tcMar>
              <w:top w:type="dxa" w:w="80"/>
              <w:left w:type="dxa" w:w="110"/>
              <w:bottom w:type="dxa" w:w="80"/>
              <w:right w:type="dxa" w:w="110"/>
            </w:tcMar>
            <w:vAlign w:val="center"/>
          </w:tcPr>
          <w:p>
            <w:r>
              <w:rPr>
                <w:rFonts w:ascii="Calibri" w:cs="Calibri" w:eastAsia="Calibri" w:hAnsi="Calibri"/>
                <w:b/>
                <w:bCs/>
                <w:color w:val="1A1A1A"/>
                <w:sz w:val="17"/>
                <w:szCs w:val="17"/>
              </w:rPr>
              <w:t xml:space="preserve">0.038</w:t>
            </w:r>
          </w:p>
        </w:tc>
      </w:tr>
      <w:tr>
        <w:tc>
          <w:tcPr>
            <w:tcW w:type="dxa" w:w="24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Dermatology</w:t>
            </w:r>
          </w:p>
        </w:tc>
        <w:tc>
          <w:tcPr>
            <w:tcW w:type="dxa" w:w="15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259</w:t>
            </w:r>
          </w:p>
        </w:tc>
        <w:tc>
          <w:tcPr>
            <w:tcW w:type="dxa" w:w="15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20.5%</w:t>
            </w:r>
          </w:p>
        </w:tc>
        <w:tc>
          <w:tcPr>
            <w:tcW w:type="dxa" w:w="20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16.0 – 25.8</w:t>
            </w:r>
          </w:p>
        </w:tc>
        <w:tc>
          <w:tcPr>
            <w:tcW w:type="dxa" w:w="26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0.368</w:t>
            </w:r>
          </w:p>
        </w:tc>
      </w:tr>
      <w:tr>
        <w:tc>
          <w:tcPr>
            <w:tcW w:type="dxa" w:w="24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Ophthalmology</w:t>
            </w:r>
          </w:p>
        </w:tc>
        <w:tc>
          <w:tcPr>
            <w:tcW w:type="dxa" w:w="15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281</w:t>
            </w:r>
          </w:p>
        </w:tc>
        <w:tc>
          <w:tcPr>
            <w:tcW w:type="dxa" w:w="15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19.9%</w:t>
            </w:r>
          </w:p>
        </w:tc>
        <w:tc>
          <w:tcPr>
            <w:tcW w:type="dxa" w:w="20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15.7 – 25.0</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0.538</w:t>
            </w:r>
          </w:p>
        </w:tc>
      </w:tr>
      <w:tr>
        <w:tc>
          <w:tcPr>
            <w:tcW w:type="dxa" w:w="24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Cardiology</w:t>
            </w:r>
          </w:p>
        </w:tc>
        <w:tc>
          <w:tcPr>
            <w:tcW w:type="dxa" w:w="15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253</w:t>
            </w:r>
          </w:p>
        </w:tc>
        <w:tc>
          <w:tcPr>
            <w:tcW w:type="dxa" w:w="15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9.5%</w:t>
            </w:r>
          </w:p>
        </w:tc>
        <w:tc>
          <w:tcPr>
            <w:tcW w:type="dxa" w:w="20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6.5 – 13.7</w:t>
            </w:r>
          </w:p>
        </w:tc>
        <w:tc>
          <w:tcPr>
            <w:tcW w:type="dxa" w:w="2600"/>
            <w:shd w:fill="F2F7F7" w:val="clear"/>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0.015</w:t>
            </w:r>
          </w:p>
        </w:tc>
      </w:tr>
      <w:tr>
        <w:tc>
          <w:tcPr>
            <w:tcW w:type="dxa" w:w="24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Gynecology</w:t>
            </w:r>
          </w:p>
        </w:tc>
        <w:tc>
          <w:tcPr>
            <w:tcW w:type="dxa" w:w="15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242</w:t>
            </w:r>
          </w:p>
        </w:tc>
        <w:tc>
          <w:tcPr>
            <w:tcW w:type="dxa" w:w="15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9.5%</w:t>
            </w:r>
          </w:p>
        </w:tc>
        <w:tc>
          <w:tcPr>
            <w:tcW w:type="dxa" w:w="20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6.4 – 13.9</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A1A1A"/>
                <w:sz w:val="17"/>
                <w:szCs w:val="17"/>
              </w:rPr>
              <w:t xml:space="preserve">0.021</w:t>
            </w:r>
          </w:p>
        </w:tc>
      </w:tr>
    </w:tbl>
    <w:p>
      <w:pPr>
        <w:spacing w:after="120" w:before="60"/>
      </w:pPr>
      <w:r>
        <w:rPr>
          <w:rFonts w:ascii="Calibri" w:cs="Calibri" w:eastAsia="Calibri" w:hAnsi="Calibri"/>
          <w:i/>
          <w:iCs/>
          <w:color w:val="5A5A5A"/>
          <w:sz w:val="17"/>
          <w:szCs w:val="17"/>
        </w:rPr>
        <w:t xml:space="preserve">Honest reading: after correcting for 8 comparisons, only General Medicine is individually significant on the high side. Dermatology and Ophthalmology are not individually significant, but the three together (20.9%) are clearly higher than Cardiology + Gynecology (9.5%; p &lt; 0.0001).</w:t>
      </w:r>
    </w:p>
    <w:p>
      <w:pPr>
        <w:keepNext/>
        <w:pBdr>
          <w:bottom w:val="single" w:color="0F6E6E" w:sz="4" w:space="2"/>
        </w:pBdr>
        <w:spacing w:after="110" w:before="260"/>
      </w:pPr>
      <w:r>
        <w:rPr>
          <w:rFonts w:ascii="Calibri" w:cs="Calibri" w:eastAsia="Calibri" w:hAnsi="Calibri"/>
          <w:b/>
          <w:bCs/>
          <w:color w:val="0F6E6E"/>
          <w:sz w:val="25"/>
          <w:szCs w:val="25"/>
        </w:rPr>
        <w:t xml:space="preserve">5. Monthly Pattern</w:t>
      </w:r>
    </w:p>
    <w:p>
      <w:pPr>
        <w:spacing w:after="80" w:before="80"/>
        <w:jc w:val="center"/>
      </w:pPr>
      <w:r>
        <w:drawing>
          <wp:inline distT="0" distB="0" distL="0" distR="0">
            <wp:extent cx="4476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000250"/>
                    </a:xfrm>
                    <a:prstGeom prst="rect">
                      <a:avLst/>
                    </a:prstGeom>
                  </pic:spPr>
                </pic:pic>
              </a:graphicData>
            </a:graphic>
          </wp:inline>
        </w:drawing>
      </w:r>
    </w:p>
    <w:p>
      <w:pPr>
        <w:spacing w:after="120"/>
      </w:pPr>
      <w:r>
        <w:rPr>
          <w:rFonts w:ascii="Calibri" w:cs="Calibri" w:eastAsia="Calibri" w:hAnsi="Calibri"/>
          <w:color w:val="1A1A1A"/>
          <w:sz w:val="20"/>
          <w:szCs w:val="20"/>
        </w:rPr>
        <w:t xml:space="preserve">May 2025 is above each specialty's own average in 7 of 8 specialties (Dermatology 38%, General Medicine 32%, Ophthalmology 32%). From June onward the rate drifts down; the booking-month trend is weak (r = −0.05, p = 0.018) and should be treated as tentative.</w:t>
      </w:r>
    </w:p>
    <w:p>
      <w:pPr>
        <w:keepNext/>
        <w:pBdr>
          <w:bottom w:val="single" w:color="0F6E6E" w:sz="4" w:space="2"/>
        </w:pBdr>
        <w:spacing w:after="110" w:before="260"/>
      </w:pPr>
      <w:r>
        <w:rPr>
          <w:rFonts w:ascii="Calibri" w:cs="Calibri" w:eastAsia="Calibri" w:hAnsi="Calibri"/>
          <w:b/>
          <w:bCs/>
          <w:color w:val="0F6E6E"/>
          <w:sz w:val="25"/>
          <w:szCs w:val="25"/>
        </w:rPr>
        <w:t xml:space="preserve">6. Data Quality and Limits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B23A2E" w:sz="8"/>
              <w:left w:val="single" w:color="B23A2E" w:sz="8"/>
              <w:bottom w:val="single" w:color="B23A2E" w:sz="8"/>
              <w:right w:val="single" w:color="B23A2E" w:sz="8"/>
            </w:tcBorders>
            <w:shd w:fill="FBEEEC" w:val="clear"/>
            <w:tcMar>
              <w:top w:type="dxa" w:w="140"/>
              <w:left w:type="dxa" w:w="190"/>
              <w:bottom w:type="dxa" w:w="140"/>
              <w:right w:type="dxa" w:w="190"/>
            </w:tcMar>
          </w:tcPr>
          <w:p>
            <w:pPr>
              <w:spacing w:after="70"/>
            </w:pPr>
            <w:r>
              <w:rPr>
                <w:rFonts w:ascii="Calibri" w:cs="Calibri" w:eastAsia="Calibri" w:hAnsi="Calibri"/>
                <w:b/>
                <w:bCs/>
                <w:color w:val="B23A2E"/>
                <w:sz w:val="20"/>
                <w:szCs w:val="20"/>
              </w:rPr>
              <w:t xml:space="preserve">Resource-utilisation file is not reliable enough to analyse</w:t>
            </w:r>
          </w:p>
          <w:p>
            <w:r>
              <w:rPr>
                <w:rFonts w:ascii="Calibri" w:cs="Calibri" w:eastAsia="Calibri" w:hAnsi="Calibri"/>
                <w:color w:val="1A1A1A"/>
                <w:sz w:val="19"/>
                <w:szCs w:val="19"/>
              </w:rPr>
              <w:t xml:space="preserve">336 of 400 rows (84%) contain physically impossible values: occupied beds above total beds (175 rows), ICU occupied above ICU total (175 rows), and surgeries completed above scheduled (182 rows). Only 64 rows are clean. Columns are also almost uncorrelated (beds total vs occupied r = 0.10; scheduled vs completed r = 0.01). I did not build conclusions on it and recommend confirming the source with the mentor.</w:t>
            </w:r>
          </w:p>
        </w:tc>
      </w:tr>
    </w:tbl>
    <w:p>
      <w:pP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6700" w:sz="8"/>
              <w:left w:val="single" w:color="9A6700" w:sz="8"/>
              <w:bottom w:val="single" w:color="9A6700" w:sz="8"/>
              <w:right w:val="single" w:color="9A6700" w:sz="8"/>
            </w:tcBorders>
            <w:shd w:fill="FFF6E0" w:val="clear"/>
            <w:tcMar>
              <w:top w:type="dxa" w:w="140"/>
              <w:left w:type="dxa" w:w="190"/>
              <w:bottom w:type="dxa" w:w="140"/>
              <w:right w:type="dxa" w:w="190"/>
            </w:tcMar>
          </w:tcPr>
          <w:p>
            <w:pPr>
              <w:spacing w:after="70"/>
            </w:pPr>
            <w:r>
              <w:rPr>
                <w:rFonts w:ascii="Calibri" w:cs="Calibri" w:eastAsia="Calibri" w:hAnsi="Calibri"/>
                <w:b/>
                <w:bCs/>
                <w:color w:val="9A6700"/>
                <w:sz w:val="20"/>
                <w:szCs w:val="20"/>
              </w:rPr>
              <w:t xml:space="preserve">Satisfaction file: weak signal, different organisation</w:t>
            </w:r>
          </w:p>
          <w:p>
            <w:r>
              <w:rPr>
                <w:rFonts w:ascii="Calibri" w:cs="Calibri" w:eastAsia="Calibri" w:hAnsi="Calibri"/>
                <w:color w:val="1A1A1A"/>
                <w:sz w:val="19"/>
                <w:szCs w:val="19"/>
              </w:rPr>
              <w:t xml:space="preserve">600 surveys from four Sunrise hospitals (not Pristyn Care) with no key linking them to appointments. Hospital differences are significant (ANOVA p = 0.003; South 3.37 vs East 2.81), but sub-ratings barely relate to overall satisfaction (|r| &lt; 0.08) and waiting time shows only a borderline link (Spearman p = 0.0499). 58.5% would recommend. Treat as context, not evidence for the appointment funnel.</w:t>
            </w:r>
          </w:p>
        </w:tc>
      </w:tr>
    </w:tbl>
    <w:p>
      <w:pPr>
        <w:keepNext/>
        <w:pBdr>
          <w:bottom w:val="single" w:color="0F6E6E" w:sz="4" w:space="2"/>
        </w:pBdr>
        <w:spacing w:after="110" w:before="260"/>
      </w:pPr>
      <w:r>
        <w:rPr>
          <w:rFonts w:ascii="Calibri" w:cs="Calibri" w:eastAsia="Calibri" w:hAnsi="Calibri"/>
          <w:b/>
          <w:bCs/>
          <w:color w:val="0F6E6E"/>
          <w:sz w:val="25"/>
          <w:szCs w:val="25"/>
        </w:rPr>
        <w:t xml:space="preserve">7. Method and Assumptions</w:t>
      </w:r>
    </w:p>
    <w:p>
      <w:pPr>
        <w:pStyle w:val="ListParagraph"/>
        <w:numPr>
          <w:ilvl w:val="0"/>
          <w:numId w:val="2"/>
        </w:numPr>
        <w:spacing w:after="80"/>
      </w:pPr>
      <w:r>
        <w:rPr>
          <w:rFonts w:ascii="Calibri" w:cs="Calibri" w:eastAsia="Calibri" w:hAnsi="Calibri"/>
          <w:color w:val="1A1A1A"/>
          <w:sz w:val="20"/>
          <w:szCs w:val="20"/>
        </w:rPr>
        <w:t xml:space="preserve">No-show = appointment_id with no_show = 1. Every no-show has 0 consultation minutes and every attended visit has more than 0, so attended and consultation-completed are identical.</w:t>
      </w:r>
    </w:p>
    <w:p>
      <w:pPr>
        <w:pStyle w:val="ListParagraph"/>
        <w:numPr>
          <w:ilvl w:val="0"/>
          <w:numId w:val="2"/>
        </w:numPr>
        <w:spacing w:after="80"/>
      </w:pPr>
      <w:r>
        <w:rPr>
          <w:rFonts w:ascii="Calibri" w:cs="Calibri" w:eastAsia="Calibri" w:hAnsi="Calibri"/>
          <w:color w:val="1A1A1A"/>
          <w:sz w:val="20"/>
          <w:szCs w:val="20"/>
        </w:rPr>
        <w:t xml:space="preserve">Chi-square tests for categorical segments; Wilson intervals for rates; Bonferroni correction across 8 specialties; logistic regression for adjusted effects. Significance threshold 5%.</w:t>
      </w:r>
    </w:p>
    <w:p>
      <w:pPr>
        <w:pStyle w:val="ListParagraph"/>
        <w:numPr>
          <w:ilvl w:val="0"/>
          <w:numId w:val="2"/>
        </w:numPr>
        <w:spacing w:after="80"/>
      </w:pPr>
      <w:r>
        <w:rPr>
          <w:rFonts w:ascii="Calibri" w:cs="Calibri" w:eastAsia="Calibri" w:hAnsi="Calibri"/>
          <w:color w:val="1A1A1A"/>
          <w:sz w:val="20"/>
          <w:szCs w:val="20"/>
        </w:rPr>
        <w:t xml:space="preserve">January 2026 (43 appointments) is excluded from the monthly chart because it is a partial month.</w:t>
      </w:r>
    </w:p>
    <w:p>
      <w:pPr>
        <w:pStyle w:val="ListParagraph"/>
        <w:numPr>
          <w:ilvl w:val="0"/>
          <w:numId w:val="2"/>
        </w:numPr>
        <w:spacing w:after="80"/>
      </w:pPr>
      <w:r>
        <w:rPr>
          <w:rFonts w:ascii="Calibri" w:cs="Calibri" w:eastAsia="Calibri" w:hAnsi="Calibri"/>
          <w:color w:val="1A1A1A"/>
          <w:sz w:val="20"/>
          <w:szCs w:val="20"/>
        </w:rPr>
        <w:t xml:space="preserve">No revenue or price field exists in the data, so the revenue model for a 5% conversion lift needs an agreed average revenue per consultation as an explicit assumption.</w:t>
      </w:r>
    </w:p>
    <w:p>
      <w:pPr>
        <w:keepNext/>
        <w:pBdr>
          <w:bottom w:val="single" w:color="0F6E6E" w:sz="4" w:space="2"/>
        </w:pBdr>
        <w:spacing w:after="110" w:before="260"/>
      </w:pPr>
      <w:r>
        <w:rPr>
          <w:rFonts w:ascii="Calibri" w:cs="Calibri" w:eastAsia="Calibri" w:hAnsi="Calibri"/>
          <w:b/>
          <w:bCs/>
          <w:color w:val="0F6E6E"/>
          <w:sz w:val="25"/>
          <w:szCs w:val="25"/>
        </w:rPr>
        <w:t xml:space="preserve">8. Next Steps</w:t>
      </w:r>
    </w:p>
    <w:p>
      <w:pPr>
        <w:pStyle w:val="ListParagraph"/>
        <w:numPr>
          <w:ilvl w:val="0"/>
          <w:numId w:val="2"/>
        </w:numPr>
        <w:spacing w:after="80"/>
      </w:pPr>
      <w:r>
        <w:rPr>
          <w:rFonts w:ascii="Calibri" w:cs="Calibri" w:eastAsia="Calibri" w:hAnsi="Calibri"/>
          <w:color w:val="1A1A1A"/>
          <w:sz w:val="20"/>
          <w:szCs w:val="20"/>
        </w:rPr>
        <w:t xml:space="preserve">Confirm with the mentor whether upstream funnel stages and revenue data exist, and the source of the resource file.</w:t>
      </w:r>
    </w:p>
    <w:p>
      <w:pPr>
        <w:pStyle w:val="ListParagraph"/>
        <w:numPr>
          <w:ilvl w:val="0"/>
          <w:numId w:val="2"/>
        </w:numPr>
        <w:spacing w:after="80"/>
      </w:pPr>
      <w:r>
        <w:rPr>
          <w:rFonts w:ascii="Calibri" w:cs="Calibri" w:eastAsia="Calibri" w:hAnsi="Calibri"/>
          <w:color w:val="1A1A1A"/>
          <w:sz w:val="20"/>
          <w:szCs w:val="20"/>
        </w:rPr>
        <w:t xml:space="preserve">Investigate May 2025 (campaign, doctor leave, holiday or data-entry cause).</w:t>
      </w:r>
    </w:p>
    <w:p>
      <w:pPr>
        <w:pStyle w:val="ListParagraph"/>
        <w:numPr>
          <w:ilvl w:val="0"/>
          <w:numId w:val="2"/>
        </w:numPr>
        <w:spacing w:after="80"/>
      </w:pPr>
      <w:r>
        <w:rPr>
          <w:rFonts w:ascii="Calibri" w:cs="Calibri" w:eastAsia="Calibri" w:hAnsi="Calibri"/>
          <w:color w:val="1A1A1A"/>
          <w:sz w:val="20"/>
          <w:szCs w:val="20"/>
        </w:rPr>
        <w:t xml:space="preserve">Build the Excel revenue model with a sensitivity table on the three leakage specialties, then draft A/B tests (reminders, double-booking buffers, deposit or confirmation calls) for Checkpoints 4–5.</w:t>
      </w:r>
    </w:p>
    <w:p>
      <w:pPr>
        <w:spacing w:after="120"/>
      </w:pPr>
      <w:r>
        <w:rPr>
          <w:rFonts w:ascii="Calibri" w:cs="Calibri" w:eastAsia="Calibri" w:hAnsi="Calibri"/>
          <w:b/>
          <w:bCs/>
          <w:color w:val="1A1A1A"/>
          <w:sz w:val="20"/>
          <w:szCs w:val="20"/>
        </w:rPr>
        <w:t xml:space="preserve">Repository: </w:t>
      </w:r>
      <w:r>
        <w:rPr>
          <w:rFonts w:ascii="Calibri" w:cs="Calibri" w:eastAsia="Calibri" w:hAnsi="Calibri"/>
          <w:color w:val="0F6E6E"/>
          <w:sz w:val="20"/>
          <w:szCs w:val="20"/>
        </w:rPr>
        <w:t xml:space="preserve">https://github.com/Yashwanthjvnaik/pristyn-care-health-analysis</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Cynaris Solutions — Data Analyst Internship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a5a2e3cb39aed002cdd51e4a7f51743a3e859b.png"/><Relationship Id="rId9" Type="http://schemas.openxmlformats.org/officeDocument/2006/relationships/image" Target="media/2bf927af0c37ebfbde3c052945d052e4f7c4df38.png"/><Relationship Id="rId10" Type="http://schemas.openxmlformats.org/officeDocument/2006/relationships/image" Target="media/8af6b6f2861d0b77eaa77268cedeca45aa29589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2026-10-11T14:51:16.920Z</dcterms:created>
  <dcterms:modified xsi:type="dcterms:W3CDTF">2026-10-11T14:51:16.921Z</dcterms:modified>
</cp:coreProperties>
</file>

<file path=docProps/custom.xml><?xml version="1.0" encoding="utf-8"?>
<Properties xmlns="http://schemas.openxmlformats.org/officeDocument/2006/custom-properties" xmlns:vt="http://schemas.openxmlformats.org/officeDocument/2006/docPropsVTypes"/>
</file>