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3A8A"/>
          <w:sz w:val="48"/>
        </w:rPr>
        <w:t>PREDICT &amp; RETAIN</w:t>
      </w:r>
    </w:p>
    <w:p>
      <w:pPr>
        <w:spacing w:after="400"/>
        <w:jc w:val="center"/>
      </w:pPr>
      <w:r>
        <w:rPr>
          <w:rFonts w:ascii="Arial" w:hAnsi="Arial"/>
          <w:color w:val="3B82F6"/>
          <w:sz w:val="26"/>
        </w:rPr>
        <w:t>Data-Driven HR Employee Attrition &amp; Workforce Analytics</w:t>
      </w:r>
    </w:p>
    <w:p>
      <w:pPr>
        <w:spacing w:after="400"/>
        <w:jc w:val="center"/>
      </w:pPr>
      <w:r>
        <w:rPr>
          <w:rFonts w:ascii="Arial" w:hAnsi="Arial"/>
          <w:i/>
          <w:sz w:val="19"/>
        </w:rPr>
        <w:t>Foundations of Data Science | October 2026 | Submission-Ready Technical Report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Executive Summary</w:t>
      </w:r>
    </w:p>
    <w:p>
      <w:pPr>
        <w:spacing w:after="120" w:line="276" w:lineRule="auto"/>
      </w:pPr>
      <w:r>
        <w:rPr>
          <w:rFonts w:ascii="Arial" w:hAnsi="Arial"/>
          <w:sz w:val="21"/>
        </w:rPr>
        <w:t>This study evaluates employee attrition patterns across 1,470 employee records from the IBM HR Analytics benchmark dataset using exploratory data analysis, statistical hypothesis testing, and an interactive Streamlit dashboard.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Overtime Association:</w:t>
      </w:r>
      <w:r>
        <w:rPr>
          <w:rFonts w:ascii="Arial" w:hAnsi="Arial"/>
          <w:sz w:val="21"/>
        </w:rPr>
        <w:t xml:space="preserve"> Employees assigned to overtime exhibit an observed attrition rate of 30.53% vs 10.44% for non-overtime staff (Chi-square = 87.56, p &lt; 0.001).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Compensation Gap:</w:t>
      </w:r>
      <w:r>
        <w:rPr>
          <w:rFonts w:ascii="Arial" w:hAnsi="Arial"/>
          <w:sz w:val="21"/>
        </w:rPr>
        <w:t xml:space="preserve"> Retained personnel average $6,832.74 monthly earnings vs $4,787.09 for departing staff ($2,045.65 difference, Welch t = -7.48, p &lt; 0.001).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Tenure Cohorts:</w:t>
      </w:r>
      <w:r>
        <w:rPr>
          <w:rFonts w:ascii="Arial" w:hAnsi="Arial"/>
          <w:sz w:val="21"/>
        </w:rPr>
        <w:t xml:space="preserve"> Employees in years 0–2 experience an observed attrition rate of 29.82%, dropping to 13.82% in years 3–5 and 8.13% after 11 years.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Job Role Variation:</w:t>
      </w:r>
      <w:r>
        <w:rPr>
          <w:rFonts w:ascii="Arial" w:hAnsi="Arial"/>
          <w:sz w:val="21"/>
        </w:rPr>
        <w:t xml:space="preserve"> Highest observed attrition occurs in Sales Representatives (39.76%), Laboratory Technicians (23.94%), and Human Resources (23.08%).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Commute Distance:</w:t>
      </w:r>
      <w:r>
        <w:rPr>
          <w:rFonts w:ascii="Arial" w:hAnsi="Arial"/>
          <w:sz w:val="21"/>
        </w:rPr>
        <w:t xml:space="preserve"> Staff living &gt;20 km away exhibit 22.06% attrition compared to 13.77% within 0–5 km.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1. Dataset &amp; Analytical Fields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 dataset contains 1,470 rows and 35 baseline columns, with 0 missing values and 0 duplicate records. Overall workforce turnover is 16.12% (237 departed / 1,233 retained). Key fields include Attrition, Age, Department, JobRole, MonthlyIncome, OverTime, YearsAtCompany, DistanceFromHome, JobSatisfaction, and WorkLifeBalance.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2. Salary Reference Reconciliation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 project specification referenced salary values of approximately $11,330 for retained staff and $9,592 for departing staff. The authentic dataset (final_dataset.csv) yields actual calculated mean monthly incomes of $6,832.74 for retained employees and $4,787.09 for departing employees. In accordance with data integrity guidelines, all reported values reflect actual dataset calculations rather than forced reference figures. Both indicate a statistically significant compensation gap (p &lt; 0.001).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3. Visual Assets &amp; Key Findings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Workforce Analytics Multi-Panel Summary.</w:t>
      </w:r>
    </w:p>
    <w:p>
      <w:pPr>
        <w:spacing w:before="200" w:after="80"/>
      </w:pPr>
      <w:r>
        <w:rPr>
          <w:rFonts w:ascii="Arial" w:hAnsi="Arial"/>
          <w:b/>
          <w:color w:val="3B82F6"/>
          <w:sz w:val="25"/>
        </w:rPr>
        <w:t>3.1 Department and Role Turnover</w:t>
      </w:r>
    </w:p>
    <w:p>
      <w:pPr>
        <w:spacing w:after="120" w:line="276" w:lineRule="auto"/>
      </w:pPr>
      <w:r>
        <w:rPr>
          <w:rFonts w:ascii="Arial" w:hAnsi="Arial"/>
          <w:sz w:val="21"/>
        </w:rPr>
        <w:t>Sales exhibits an observed attrition rate of 20.63%, Human Resources 19.05%, and Research &amp; Development 13.84%. Job roles with the highest observed attrition rates are Sales Representatives (39.76%), Laboratory Technicians (23.94%), and Human Resources (23.08%).</w:t>
      </w:r>
    </w:p>
    <w:p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tion_jobr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Observed Attrition Rate by Job Role.</w:t>
      </w:r>
    </w:p>
    <w:p>
      <w:pPr>
        <w:spacing w:before="200" w:after="80"/>
      </w:pPr>
      <w:r>
        <w:rPr>
          <w:rFonts w:ascii="Arial" w:hAnsi="Arial"/>
          <w:b/>
          <w:color w:val="3B82F6"/>
          <w:sz w:val="25"/>
        </w:rPr>
        <w:t>3.2 Overtime and Compensation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Overtime status demonstrates a strong statistical association with turnover (30.53% vs 10.44%, Chi-square = 87.56, p &lt; 0.001). Retained employees earn significantly higher monthly incomes ($6,832.74 vs $4,787.09, t = -7.48, p &lt; 0.001).</w:t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attr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Monthly Compensation Distribution by Attrition Cohort.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4. Streamlit Dashboard Architecture</w:t>
      </w:r>
    </w:p>
    <w:p>
      <w:pPr>
        <w:spacing w:after="120" w:line="276" w:lineRule="auto"/>
      </w:pPr>
      <w:r>
        <w:rPr>
          <w:rFonts w:ascii="Arial" w:hAnsi="Arial"/>
          <w:sz w:val="21"/>
        </w:rPr>
        <w:t>The dashboard (dashboard/app.py) provides live KPI metrics, dynamic sidebar filtering (Department, Job Role, Overtime, Business Travel), 5 exploration tabs, and empty-filter handling.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5. Evidence-Based HR Recommendations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1. Overtime Governance:</w:t>
      </w:r>
      <w:r>
        <w:rPr>
          <w:rFonts w:ascii="Arial" w:hAnsi="Arial"/>
          <w:sz w:val="21"/>
        </w:rPr>
        <w:t xml:space="preserve"> Monitor recurring overtime hours and evaluate staffing levels in high-overtime units.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2. Compensation Alignment:</w:t>
      </w:r>
      <w:r>
        <w:rPr>
          <w:rFonts w:ascii="Arial" w:hAnsi="Arial"/>
          <w:sz w:val="21"/>
        </w:rPr>
        <w:t xml:space="preserve"> Review compensation for roles showing elevated turnover (Sales Representatives, Laboratory Technicians).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3. Early-Tenure Mentorship:</w:t>
      </w:r>
      <w:r>
        <w:rPr>
          <w:rFonts w:ascii="Arial" w:hAnsi="Arial"/>
          <w:sz w:val="21"/>
        </w:rPr>
        <w:t xml:space="preserve"> Implement structured onboarding check-ins and mentorship during the 0–24 month tenure period.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4. Commute Accommodation:</w:t>
      </w:r>
      <w:r>
        <w:rPr>
          <w:rFonts w:ascii="Arial" w:hAnsi="Arial"/>
          <w:sz w:val="21"/>
        </w:rPr>
        <w:t xml:space="preserve"> Offer flexible scheduling or commute accommodations for staff living &gt;20 km away.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1"/>
        </w:rPr>
        <w:t>5. Role-Specific Support:</w:t>
      </w:r>
      <w:r>
        <w:rPr>
          <w:rFonts w:ascii="Arial" w:hAnsi="Arial"/>
          <w:sz w:val="21"/>
        </w:rPr>
        <w:t xml:space="preserve"> Design clear progression pathways and support systems tailored to individual job roles.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6. Conclusion &amp; References</w:t>
      </w:r>
    </w:p>
    <w:p>
      <w:pPr>
        <w:spacing w:after="120" w:line="276" w:lineRule="auto"/>
      </w:pPr>
      <w:r>
        <w:rPr>
          <w:rFonts w:ascii="Arial" w:hAnsi="Arial"/>
          <w:sz w:val="21"/>
        </w:rPr>
        <w:t>Employee attrition is strongly associated with observable factors including overtime status, compensation levels, service tenure, and specific job roles. Addressing these areas provides concrete opportunities for retention improvement.</w:t>
      </w:r>
    </w:p>
    <w:p>
      <w:pPr>
        <w:spacing w:after="120" w:line="276" w:lineRule="auto"/>
      </w:pPr>
      <w:r>
        <w:rPr>
          <w:rFonts w:ascii="Arial" w:hAnsi="Arial"/>
          <w:sz w:val="21"/>
        </w:rPr>
        <w:t>References: IBM Watson Analytics; Agresti (2018); Streamlit Documentation (2026).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