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ind w:firstLine="0"/>
        <w:jc w:val="center"/>
      </w:pPr>
      <w:r>
        <w:rPr>
          <w:rFonts w:ascii="Times New Roman" w:hAnsi="Times New Roman"/>
          <w:b/>
          <w:sz w:val="32"/>
        </w:rPr>
        <w:t>CHAPTER III: METHODOLOGY</w:t>
      </w:r>
    </w:p>
    <w:p>
      <w:pPr>
        <w:pStyle w:val="Heading1"/>
      </w:pPr>
      <w:r>
        <w:t>3.1 Introduction</w:t>
      </w:r>
    </w:p>
    <w:p>
      <w:r>
        <w:t>This chapter describes the methodology used to design, develop, train, evaluate, and deploy BAREAI (Bare AI Crime Intelligence Platform), an automated system for classifying Somali text reports as crime-related or not crime-related. The methodology combines the Cross-Industry Standard Process for Data Mining (CRISP-DM) with iterative software development. CRISP-DM structured the machine-learning work into problem understanding, data understanding, data preparation, modelling, evaluation, and deployment, while iterative development enabled the user interface, application programming interfaces, database, monitoring functions, and investigation workflow to be integrated and tested progressively.</w:t>
      </w:r>
    </w:p>
    <w:p>
      <w:r>
        <w:t>The final implementation differs from a conventional notebook-only classification experiment. It contains a React frontend, an Express backend, an independent Flask inference service, and MongoDB persistence. The modelling stage evaluated classical machine-learning algorithms, convolutional and recurrent neural networks, and Somali encoder-only transformer models. The final deployment used SomBERTa-B because the controlled comparison reported in Chapter Four showed that it provided the strongest balance of overall classification performance and crime-class recall. Classical TF-IDF models were retained as reproducible baselines and fallback research artefacts, but they were not treated as the final production model.</w:t>
      </w:r>
    </w:p>
    <w:p>
      <w:pPr>
        <w:pStyle w:val="Heading1"/>
      </w:pPr>
      <w:r>
        <w:t>3.2 System Description</w:t>
      </w:r>
    </w:p>
    <w:p>
      <w:r>
        <w:t>BAREAI is a role-based crime intelligence platform designed to reduce the manual effort required to review large volumes of unstructured Somali text. The system accepts direct text, website addresses, uploaded documents, batches of reports, monitored Facebook posts, and monitored website content. Each input is validated and cleaned before being forwarded to the AI service. The returned prediction is enriched with matched Somali crime expressions, possible Somali locations, source details, confidence information, and blacklist evidence. Results are stored for later review and may be escalated into investigation cases.</w:t>
      </w:r>
    </w:p>
    <w:p>
      <w:r>
        <w:t>Three specialized protected workspaces were implemented. Administrators supervise users, dashboards, blacklists, cases, reports, notifications, audit logs, and monitoring. Investigators receive or claim cases, inspect evidence, add notes, update status, and record a verdict. The Dataset Manager reviews and exports collected records without receiving administrative or investigative authority. Public users may access a restricted Somali-language analysis interface. These boundaries implement least-privilege access and separate data governance from operational investigation.</w:t>
      </w:r>
    </w:p>
    <w:p>
      <w:pPr>
        <w:pStyle w:val="Heading1"/>
      </w:pPr>
      <w:r>
        <w:t>3.3 System Architecture</w:t>
      </w:r>
    </w:p>
    <w:p>
      <w:r>
        <w:t>The system follows a modular three-tier architecture with the machine-learning component isolated as a separate microservice. The presentation tier is a React 19 single-page application. It communicates with the application tier through an Express 5 REST API and does not access the database or model files directly. The backend validates requests, verifies JSON Web Tokens, applies role-based access control, coordinates analysis and monitoring, enriches predictions, and writes operational records. MongoDB provides document-oriented persistence. The AI service is implemented with Flask and loads the selected SomBERTa-B model and tokenizer at start-up.</w:t>
      </w:r>
    </w:p>
    <w:p>
      <w:pPr>
        <w:spacing w:line="240" w:lineRule="auto" w:after="80"/>
      </w:pPr>
      <w:r>
        <w:rPr>
          <w:b/>
          <w:sz w:val="22"/>
        </w:rPr>
        <w:t>Table 3.1: BAREAI architectural components</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vAlign w:val="center"/>
            <w:shd w:fill="D9EAF7"/>
          </w:tcPr>
          <w:p>
            <w:pPr>
              <w:spacing w:line="240" w:lineRule="auto" w:after="0"/>
            </w:pPr>
            <w:r/>
            <w:r>
              <w:rPr>
                <w:rFonts w:ascii="Times New Roman" w:hAnsi="Times New Roman"/>
                <w:b/>
                <w:sz w:val="20"/>
              </w:rPr>
              <w:t>Component</w:t>
            </w:r>
          </w:p>
        </w:tc>
        <w:tc>
          <w:tcPr>
            <w:tcW w:type="dxa" w:w="2835"/>
            <w:vAlign w:val="center"/>
            <w:shd w:fill="D9EAF7"/>
          </w:tcPr>
          <w:p>
            <w:pPr>
              <w:spacing w:line="240" w:lineRule="auto" w:after="0"/>
            </w:pPr>
            <w:r/>
            <w:r>
              <w:rPr>
                <w:rFonts w:ascii="Times New Roman" w:hAnsi="Times New Roman"/>
                <w:b/>
                <w:sz w:val="20"/>
              </w:rPr>
              <w:t>Technology</w:t>
            </w:r>
          </w:p>
        </w:tc>
        <w:tc>
          <w:tcPr>
            <w:tcW w:type="dxa" w:w="2835"/>
            <w:vAlign w:val="center"/>
            <w:shd w:fill="D9EAF7"/>
          </w:tcPr>
          <w:p>
            <w:pPr>
              <w:spacing w:line="240" w:lineRule="auto" w:after="0"/>
            </w:pPr>
            <w:r/>
            <w:r>
              <w:rPr>
                <w:rFonts w:ascii="Times New Roman" w:hAnsi="Times New Roman"/>
                <w:b/>
                <w:sz w:val="20"/>
              </w:rPr>
              <w:t>Responsibility</w:t>
            </w:r>
          </w:p>
        </w:tc>
      </w:tr>
      <w:tr>
        <w:tc>
          <w:tcPr>
            <w:tcW w:type="dxa" w:w="2835"/>
            <w:vAlign w:val="center"/>
          </w:tcPr>
          <w:p>
            <w:pPr>
              <w:spacing w:line="240" w:lineRule="auto" w:after="0"/>
            </w:pPr>
            <w:r/>
            <w:r>
              <w:rPr>
                <w:rFonts w:ascii="Times New Roman" w:hAnsi="Times New Roman"/>
                <w:b w:val="0"/>
                <w:sz w:val="20"/>
              </w:rPr>
              <w:t>Presentation tier</w:t>
            </w:r>
          </w:p>
        </w:tc>
        <w:tc>
          <w:tcPr>
            <w:tcW w:type="dxa" w:w="2835"/>
            <w:vAlign w:val="center"/>
          </w:tcPr>
          <w:p>
            <w:pPr>
              <w:spacing w:line="240" w:lineRule="auto" w:after="0"/>
            </w:pPr>
            <w:r/>
            <w:r>
              <w:rPr>
                <w:rFonts w:ascii="Times New Roman" w:hAnsi="Times New Roman"/>
                <w:b w:val="0"/>
                <w:sz w:val="20"/>
              </w:rPr>
              <w:t>React 19 and Vite</w:t>
            </w:r>
          </w:p>
        </w:tc>
        <w:tc>
          <w:tcPr>
            <w:tcW w:type="dxa" w:w="2835"/>
            <w:vAlign w:val="center"/>
          </w:tcPr>
          <w:p>
            <w:pPr>
              <w:spacing w:line="240" w:lineRule="auto" w:after="0"/>
            </w:pPr>
            <w:r/>
            <w:r>
              <w:rPr>
                <w:rFonts w:ascii="Times New Roman" w:hAnsi="Times New Roman"/>
                <w:b w:val="0"/>
                <w:sz w:val="20"/>
              </w:rPr>
              <w:t>Public pages, role workspaces, forms, charts, tables and responsive navigation</w:t>
            </w:r>
          </w:p>
        </w:tc>
      </w:tr>
      <w:tr>
        <w:tc>
          <w:tcPr>
            <w:tcW w:type="dxa" w:w="2835"/>
            <w:vAlign w:val="center"/>
          </w:tcPr>
          <w:p>
            <w:pPr>
              <w:spacing w:line="240" w:lineRule="auto" w:after="0"/>
            </w:pPr>
            <w:r/>
            <w:r>
              <w:rPr>
                <w:rFonts w:ascii="Times New Roman" w:hAnsi="Times New Roman"/>
                <w:b w:val="0"/>
                <w:sz w:val="20"/>
              </w:rPr>
              <w:t>Application tier</w:t>
            </w:r>
          </w:p>
        </w:tc>
        <w:tc>
          <w:tcPr>
            <w:tcW w:type="dxa" w:w="2835"/>
            <w:vAlign w:val="center"/>
          </w:tcPr>
          <w:p>
            <w:pPr>
              <w:spacing w:line="240" w:lineRule="auto" w:after="0"/>
            </w:pPr>
            <w:r/>
            <w:r>
              <w:rPr>
                <w:rFonts w:ascii="Times New Roman" w:hAnsi="Times New Roman"/>
                <w:b w:val="0"/>
                <w:sz w:val="20"/>
              </w:rPr>
              <w:t>Node.js and Express 5</w:t>
            </w:r>
          </w:p>
        </w:tc>
        <w:tc>
          <w:tcPr>
            <w:tcW w:type="dxa" w:w="2835"/>
            <w:vAlign w:val="center"/>
          </w:tcPr>
          <w:p>
            <w:pPr>
              <w:spacing w:line="240" w:lineRule="auto" w:after="0"/>
            </w:pPr>
            <w:r/>
            <w:r>
              <w:rPr>
                <w:rFonts w:ascii="Times New Roman" w:hAnsi="Times New Roman"/>
                <w:b w:val="0"/>
                <w:sz w:val="20"/>
              </w:rPr>
              <w:t>Authentication, authorization, validation, analysis orchestration, cases, reports, monitoring and audit</w:t>
            </w:r>
          </w:p>
        </w:tc>
      </w:tr>
      <w:tr>
        <w:tc>
          <w:tcPr>
            <w:tcW w:type="dxa" w:w="2835"/>
            <w:vAlign w:val="center"/>
          </w:tcPr>
          <w:p>
            <w:pPr>
              <w:spacing w:line="240" w:lineRule="auto" w:after="0"/>
            </w:pPr>
            <w:r/>
            <w:r>
              <w:rPr>
                <w:rFonts w:ascii="Times New Roman" w:hAnsi="Times New Roman"/>
                <w:b w:val="0"/>
                <w:sz w:val="20"/>
              </w:rPr>
              <w:t>AI service</w:t>
            </w:r>
          </w:p>
        </w:tc>
        <w:tc>
          <w:tcPr>
            <w:tcW w:type="dxa" w:w="2835"/>
            <w:vAlign w:val="center"/>
          </w:tcPr>
          <w:p>
            <w:pPr>
              <w:spacing w:line="240" w:lineRule="auto" w:after="0"/>
            </w:pPr>
            <w:r/>
            <w:r>
              <w:rPr>
                <w:rFonts w:ascii="Times New Roman" w:hAnsi="Times New Roman"/>
                <w:b w:val="0"/>
                <w:sz w:val="20"/>
              </w:rPr>
              <w:t>Python, Flask and Transformers/PyTorch</w:t>
            </w:r>
          </w:p>
        </w:tc>
        <w:tc>
          <w:tcPr>
            <w:tcW w:type="dxa" w:w="2835"/>
            <w:vAlign w:val="center"/>
          </w:tcPr>
          <w:p>
            <w:pPr>
              <w:spacing w:line="240" w:lineRule="auto" w:after="0"/>
            </w:pPr>
            <w:r/>
            <w:r>
              <w:rPr>
                <w:rFonts w:ascii="Times New Roman" w:hAnsi="Times New Roman"/>
                <w:b w:val="0"/>
                <w:sz w:val="20"/>
              </w:rPr>
              <w:t>Somali tokenization, SomBERTa-B inference, model status and prediction response</w:t>
            </w:r>
          </w:p>
        </w:tc>
      </w:tr>
      <w:tr>
        <w:tc>
          <w:tcPr>
            <w:tcW w:type="dxa" w:w="2835"/>
            <w:vAlign w:val="center"/>
          </w:tcPr>
          <w:p>
            <w:pPr>
              <w:spacing w:line="240" w:lineRule="auto" w:after="0"/>
            </w:pPr>
            <w:r/>
            <w:r>
              <w:rPr>
                <w:rFonts w:ascii="Times New Roman" w:hAnsi="Times New Roman"/>
                <w:b w:val="0"/>
                <w:sz w:val="20"/>
              </w:rPr>
              <w:t>Data tier</w:t>
            </w:r>
          </w:p>
        </w:tc>
        <w:tc>
          <w:tcPr>
            <w:tcW w:type="dxa" w:w="2835"/>
            <w:vAlign w:val="center"/>
          </w:tcPr>
          <w:p>
            <w:pPr>
              <w:spacing w:line="240" w:lineRule="auto" w:after="0"/>
            </w:pPr>
            <w:r/>
            <w:r>
              <w:rPr>
                <w:rFonts w:ascii="Times New Roman" w:hAnsi="Times New Roman"/>
                <w:b w:val="0"/>
                <w:sz w:val="20"/>
              </w:rPr>
              <w:t>MongoDB and Mongoose</w:t>
            </w:r>
          </w:p>
        </w:tc>
        <w:tc>
          <w:tcPr>
            <w:tcW w:type="dxa" w:w="2835"/>
            <w:vAlign w:val="center"/>
          </w:tcPr>
          <w:p>
            <w:pPr>
              <w:spacing w:line="240" w:lineRule="auto" w:after="0"/>
            </w:pPr>
            <w:r/>
            <w:r>
              <w:rPr>
                <w:rFonts w:ascii="Times New Roman" w:hAnsi="Times New Roman"/>
                <w:b w:val="0"/>
                <w:sz w:val="20"/>
              </w:rPr>
              <w:t>Persistent users, history, cases, reports, blacklist items, notifications and activity logs</w:t>
            </w:r>
          </w:p>
        </w:tc>
      </w:tr>
      <w:tr>
        <w:tc>
          <w:tcPr>
            <w:tcW w:type="dxa" w:w="2835"/>
            <w:vAlign w:val="center"/>
          </w:tcPr>
          <w:p>
            <w:pPr>
              <w:spacing w:line="240" w:lineRule="auto" w:after="0"/>
            </w:pPr>
            <w:r/>
            <w:r>
              <w:rPr>
                <w:rFonts w:ascii="Times New Roman" w:hAnsi="Times New Roman"/>
                <w:b w:val="0"/>
                <w:sz w:val="20"/>
              </w:rPr>
              <w:t>External integration</w:t>
            </w:r>
          </w:p>
        </w:tc>
        <w:tc>
          <w:tcPr>
            <w:tcW w:type="dxa" w:w="2835"/>
            <w:vAlign w:val="center"/>
          </w:tcPr>
          <w:p>
            <w:pPr>
              <w:spacing w:line="240" w:lineRule="auto" w:after="0"/>
            </w:pPr>
            <w:r/>
            <w:r>
              <w:rPr>
                <w:rFonts w:ascii="Times New Roman" w:hAnsi="Times New Roman"/>
                <w:b w:val="0"/>
                <w:sz w:val="20"/>
              </w:rPr>
              <w:t>Puppeteer, Cheerio, Nodemailer and Twilio</w:t>
            </w:r>
          </w:p>
        </w:tc>
        <w:tc>
          <w:tcPr>
            <w:tcW w:type="dxa" w:w="2835"/>
            <w:vAlign w:val="center"/>
          </w:tcPr>
          <w:p>
            <w:pPr>
              <w:spacing w:line="240" w:lineRule="auto" w:after="0"/>
            </w:pPr>
            <w:r/>
            <w:r>
              <w:rPr>
                <w:rFonts w:ascii="Times New Roman" w:hAnsi="Times New Roman"/>
                <w:b w:val="0"/>
                <w:sz w:val="20"/>
              </w:rPr>
              <w:t>Content acquisition, email verification and optional SMS alerts</w:t>
            </w:r>
          </w:p>
        </w:tc>
      </w:tr>
    </w:tbl>
    <w:p>
      <w:pPr>
        <w:spacing w:after="0"/>
      </w:pPr>
    </w:p>
    <w:p>
      <w:r>
        <w:t>During development, the React application used port 5173, the Express API used port 5000, and the Flask service used port 5001. The AI service exposes a health endpoint and a prediction endpoint. The health response reports whether the model is loaded, identifies the model backend and name, and provides an integrity identifier. The prediction endpoint accepts JSON text and returns the assigned class and confidence-related output. This service boundary permits the AI component to be upgraded or scaled independently of the rest of the application.</w:t>
      </w:r>
    </w:p>
    <w:p>
      <w:r>
        <w:t>The principal request flow is: user or monitor supplies content; frontend or background service sends the content to the Express API; authentication and validation are applied; extractable text is cleaned; the Flask service tokenizes and classifies the text; the backend applies Somali enrichment and blacklist checks; MongoDB stores the result; and authorized users receive dashboard, notification, report, or investigation outputs. If the model service is temporarily unavailable, a limited keyword fallback can keep monitoring operational. Fallback output is operational support rather than a substitute for the validated model and should be identifiable in stored metadata.</w:t>
      </w:r>
    </w:p>
    <w:p>
      <w:pPr>
        <w:pStyle w:val="Heading1"/>
      </w:pPr>
      <w:r>
        <w:t>3.4 System Features</w:t>
      </w:r>
    </w:p>
    <w:p>
      <w:pPr>
        <w:pStyle w:val="Heading2"/>
      </w:pPr>
      <w:r>
        <w:t>3.4.1 Authentication and Authorization</w:t>
      </w:r>
    </w:p>
    <w:p>
      <w:r>
        <w:t>Authentication is based on email identity, password hashing, verification controls, and JSON Web Tokens. Protected API requests carry a bearer token that includes identity, role, and session information. Backend middleware verifies the token and applies role restrictions before a controller is executed. Login, logout, registration, email verification, password recovery, password change, session invalidation, and account-status checks are handled centrally. This approach prevents access control from depending only on whether a navigation link is hidden in the browser.</w:t>
      </w:r>
    </w:p>
    <w:p>
      <w:pPr>
        <w:pStyle w:val="Heading2"/>
      </w:pPr>
      <w:r>
        <w:t>3.4.2 Crime Text Analysis</w:t>
      </w:r>
    </w:p>
    <w:p>
      <w:r>
        <w:t>The Analysis module accepts four modes: direct Somali text, URL content, supported file content, and batch input. Direct public use is rate- and length-limited. Language validation prevents the public interface from accepting clearly non-Somali content outside the study scope. URL and file handlers extract readable text before it enters the common prediction pipeline. The response presents the crime decision, confidence, matched expressions, extracted locations, source information, and actions available to the current role.</w:t>
      </w:r>
    </w:p>
    <w:p>
      <w:pPr>
        <w:pStyle w:val="Heading2"/>
      </w:pPr>
      <w:r>
        <w:t>3.4.3 Analytics Dashboard</w:t>
      </w:r>
    </w:p>
    <w:p>
      <w:r>
        <w:t>The administrator dashboard aggregates total analyses, crime and non-crime decisions, monitored pages, active cases, recent investigations, audit activity, input-source distribution, class distribution, trends, case status, and blacklist matches. Aggregations are computed from stored records rather than being embedded static values. This converts individual predictions into operational intelligence while maintaining links to underlying records.</w:t>
      </w:r>
    </w:p>
    <w:p>
      <w:pPr>
        <w:pStyle w:val="Heading2"/>
      </w:pPr>
      <w:r>
        <w:t>3.4.4 Blacklist Monitoring</w:t>
      </w:r>
    </w:p>
    <w:p>
      <w:r>
        <w:t>Authorized users can maintain monitored names, pages, domains, identifiers, or other relevant values. Incoming content is checked for active blacklist entities after prediction. Matches create visible alerts and may support escalation. Blacklist results do not independently establish guilt; they are contextual indicators requiring review.</w:t>
      </w:r>
    </w:p>
    <w:p>
      <w:pPr>
        <w:pStyle w:val="Heading2"/>
      </w:pPr>
      <w:r>
        <w:t>3.4.5 Investigation Case Management</w:t>
      </w:r>
    </w:p>
    <w:p>
      <w:r>
        <w:t>Crime-positive records may be transformed into formal investigation cases. Cases contain the source, report text, creation time, status, assigned investigator, notes, verdict, and related report information. Administrators may assign work, while investigators may claim available cases according to the configured policy. Case transitions and important actions are recorded so that the movement from machine signal to human decision remains traceable.</w:t>
      </w:r>
    </w:p>
    <w:p>
      <w:pPr>
        <w:pStyle w:val="Heading2"/>
      </w:pPr>
      <w:r>
        <w:t>3.4.6 Notifications and Alerts</w:t>
      </w:r>
    </w:p>
    <w:p>
      <w:r>
        <w:t>Notifications inform authorized users about detections, assignments, blacklist matches, and workflow changes. Each notification stores a recipient, type, message, read state, time, and optional link to the relevant resource. Email and optional SMS integrations can extend urgent communication beyond the browser.</w:t>
      </w:r>
    </w:p>
    <w:p>
      <w:pPr>
        <w:pStyle w:val="Heading2"/>
      </w:pPr>
      <w:r>
        <w:t>3.4.7 Reports and Data Export</w:t>
      </w:r>
    </w:p>
    <w:p>
      <w:r>
        <w:t>The reporting module produces aggregate and case-level information and supports portable output. The Dataset Manager can filter collected records by source and export CSV or Excel data for controlled review. Reports and exports are permission-protected because their content may contain sensitive or personally identifiable information.</w:t>
      </w:r>
    </w:p>
    <w:p>
      <w:pPr>
        <w:pStyle w:val="Heading2"/>
      </w:pPr>
      <w:r>
        <w:t>3.4.8 Facebook Page and Website Monitoring</w:t>
      </w:r>
    </w:p>
    <w:p>
      <w:r>
        <w:t>Background monitoring collects recent content from configured Facebook pages and websites. Puppeteer supports browser-based extraction where necessary, while Axios and Cheerio support suitable web pages. Extracted text enters the same analysis and enrichment pipeline as user-provided input. Duplicate controls reduce repeated alerts, and monitoring can be enabled or disabled by authorized users. Because external page structures can change, monitoring failures are recorded and must be reviewed.</w:t>
      </w:r>
    </w:p>
    <w:p>
      <w:pPr>
        <w:pStyle w:val="Heading1"/>
      </w:pPr>
      <w:r>
        <w:t>3.5 System Methodology</w:t>
      </w:r>
    </w:p>
    <w:p>
      <w:r>
        <w:t>The machine-learning methodology was organized into dataset inspection, quality control, preprocessing, representation, partitioning, model development, validation-based selection, held-out evaluation, and deployment. All transformations that learn from data were fitted using training data to reduce leakage. The validation set supported configuration and model decisions; the test set was reserved for final comparison reported in Chapter Four.</w:t>
      </w:r>
    </w:p>
    <w:p>
      <w:pPr>
        <w:pStyle w:val="Heading2"/>
      </w:pPr>
      <w:r>
        <w:t>3.5.1 Dataset</w:t>
      </w:r>
    </w:p>
    <w:p>
      <w:r>
        <w:t>The raw dataset contained 9,999 labelled records. The target category consisted of 5,000 crime-related and 4,999 not crime-related entries, producing an effectively balanced binary classification problem. All records contained text. The dataset also included URL information and an auxiliary column that was almost entirely empty. Text-quality inspection identified 8,615 unique reports and 1,384 duplicated text values. Duplicate removal was necessary before partitioning because placing identical text in training and test sets could inflate the apparent generalization performance.</w:t>
      </w:r>
    </w:p>
    <w:p>
      <w:pPr>
        <w:spacing w:line="240" w:lineRule="auto" w:after="80"/>
      </w:pPr>
      <w:r>
        <w:rPr>
          <w:b/>
          <w:sz w:val="22"/>
        </w:rPr>
        <w:t>Table 3.2: Dataset profile used in the methodology</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vAlign w:val="center"/>
            <w:shd w:fill="D9EAF7"/>
          </w:tcPr>
          <w:p>
            <w:pPr>
              <w:spacing w:line="240" w:lineRule="auto" w:after="0"/>
            </w:pPr>
            <w:r/>
            <w:r>
              <w:rPr>
                <w:rFonts w:ascii="Times New Roman" w:hAnsi="Times New Roman"/>
                <w:b/>
                <w:sz w:val="20"/>
              </w:rPr>
              <w:t>Property</w:t>
            </w:r>
          </w:p>
        </w:tc>
        <w:tc>
          <w:tcPr>
            <w:tcW w:type="dxa" w:w="2835"/>
            <w:vAlign w:val="center"/>
            <w:shd w:fill="D9EAF7"/>
          </w:tcPr>
          <w:p>
            <w:pPr>
              <w:spacing w:line="240" w:lineRule="auto" w:after="0"/>
            </w:pPr>
            <w:r/>
            <w:r>
              <w:rPr>
                <w:rFonts w:ascii="Times New Roman" w:hAnsi="Times New Roman"/>
                <w:b/>
                <w:sz w:val="20"/>
              </w:rPr>
              <w:t>Value</w:t>
            </w:r>
          </w:p>
        </w:tc>
        <w:tc>
          <w:tcPr>
            <w:tcW w:type="dxa" w:w="2835"/>
            <w:vAlign w:val="center"/>
            <w:shd w:fill="D9EAF7"/>
          </w:tcPr>
          <w:p>
            <w:pPr>
              <w:spacing w:line="240" w:lineRule="auto" w:after="0"/>
            </w:pPr>
            <w:r/>
            <w:r>
              <w:rPr>
                <w:rFonts w:ascii="Times New Roman" w:hAnsi="Times New Roman"/>
                <w:b/>
                <w:sz w:val="20"/>
              </w:rPr>
              <w:t>Methodological treatment</w:t>
            </w:r>
          </w:p>
        </w:tc>
      </w:tr>
      <w:tr>
        <w:tc>
          <w:tcPr>
            <w:tcW w:type="dxa" w:w="2835"/>
            <w:vAlign w:val="center"/>
          </w:tcPr>
          <w:p>
            <w:pPr>
              <w:spacing w:line="240" w:lineRule="auto" w:after="0"/>
            </w:pPr>
            <w:r/>
            <w:r>
              <w:rPr>
                <w:rFonts w:ascii="Times New Roman" w:hAnsi="Times New Roman"/>
                <w:b w:val="0"/>
                <w:sz w:val="20"/>
              </w:rPr>
              <w:t>Raw records</w:t>
            </w:r>
          </w:p>
        </w:tc>
        <w:tc>
          <w:tcPr>
            <w:tcW w:type="dxa" w:w="2835"/>
            <w:vAlign w:val="center"/>
          </w:tcPr>
          <w:p>
            <w:pPr>
              <w:spacing w:line="240" w:lineRule="auto" w:after="0"/>
            </w:pPr>
            <w:r/>
            <w:r>
              <w:rPr>
                <w:rFonts w:ascii="Times New Roman" w:hAnsi="Times New Roman"/>
                <w:b w:val="0"/>
                <w:sz w:val="20"/>
              </w:rPr>
              <w:t>9,999</w:t>
            </w:r>
          </w:p>
        </w:tc>
        <w:tc>
          <w:tcPr>
            <w:tcW w:type="dxa" w:w="2835"/>
            <w:vAlign w:val="center"/>
          </w:tcPr>
          <w:p>
            <w:pPr>
              <w:spacing w:line="240" w:lineRule="auto" w:after="0"/>
            </w:pPr>
            <w:r/>
            <w:r>
              <w:rPr>
                <w:rFonts w:ascii="Times New Roman" w:hAnsi="Times New Roman"/>
                <w:b w:val="0"/>
                <w:sz w:val="20"/>
              </w:rPr>
              <w:t>Inspected before modelling</w:t>
            </w:r>
          </w:p>
        </w:tc>
      </w:tr>
      <w:tr>
        <w:tc>
          <w:tcPr>
            <w:tcW w:type="dxa" w:w="2835"/>
            <w:vAlign w:val="center"/>
          </w:tcPr>
          <w:p>
            <w:pPr>
              <w:spacing w:line="240" w:lineRule="auto" w:after="0"/>
            </w:pPr>
            <w:r/>
            <w:r>
              <w:rPr>
                <w:rFonts w:ascii="Times New Roman" w:hAnsi="Times New Roman"/>
                <w:b w:val="0"/>
                <w:sz w:val="20"/>
              </w:rPr>
              <w:t>Crime-related</w:t>
            </w:r>
          </w:p>
        </w:tc>
        <w:tc>
          <w:tcPr>
            <w:tcW w:type="dxa" w:w="2835"/>
            <w:vAlign w:val="center"/>
          </w:tcPr>
          <w:p>
            <w:pPr>
              <w:spacing w:line="240" w:lineRule="auto" w:after="0"/>
            </w:pPr>
            <w:r/>
            <w:r>
              <w:rPr>
                <w:rFonts w:ascii="Times New Roman" w:hAnsi="Times New Roman"/>
                <w:b w:val="0"/>
                <w:sz w:val="20"/>
              </w:rPr>
              <w:t>5,000</w:t>
            </w:r>
          </w:p>
        </w:tc>
        <w:tc>
          <w:tcPr>
            <w:tcW w:type="dxa" w:w="2835"/>
            <w:vAlign w:val="center"/>
          </w:tcPr>
          <w:p>
            <w:pPr>
              <w:spacing w:line="240" w:lineRule="auto" w:after="0"/>
            </w:pPr>
            <w:r/>
            <w:r>
              <w:rPr>
                <w:rFonts w:ascii="Times New Roman" w:hAnsi="Times New Roman"/>
                <w:b w:val="0"/>
                <w:sz w:val="20"/>
              </w:rPr>
              <w:t>Positive class</w:t>
            </w:r>
          </w:p>
        </w:tc>
      </w:tr>
      <w:tr>
        <w:tc>
          <w:tcPr>
            <w:tcW w:type="dxa" w:w="2835"/>
            <w:vAlign w:val="center"/>
          </w:tcPr>
          <w:p>
            <w:pPr>
              <w:spacing w:line="240" w:lineRule="auto" w:after="0"/>
            </w:pPr>
            <w:r/>
            <w:r>
              <w:rPr>
                <w:rFonts w:ascii="Times New Roman" w:hAnsi="Times New Roman"/>
                <w:b w:val="0"/>
                <w:sz w:val="20"/>
              </w:rPr>
              <w:t>Not crime-related</w:t>
            </w:r>
          </w:p>
        </w:tc>
        <w:tc>
          <w:tcPr>
            <w:tcW w:type="dxa" w:w="2835"/>
            <w:vAlign w:val="center"/>
          </w:tcPr>
          <w:p>
            <w:pPr>
              <w:spacing w:line="240" w:lineRule="auto" w:after="0"/>
            </w:pPr>
            <w:r/>
            <w:r>
              <w:rPr>
                <w:rFonts w:ascii="Times New Roman" w:hAnsi="Times New Roman"/>
                <w:b w:val="0"/>
                <w:sz w:val="20"/>
              </w:rPr>
              <w:t>4,999</w:t>
            </w:r>
          </w:p>
        </w:tc>
        <w:tc>
          <w:tcPr>
            <w:tcW w:type="dxa" w:w="2835"/>
            <w:vAlign w:val="center"/>
          </w:tcPr>
          <w:p>
            <w:pPr>
              <w:spacing w:line="240" w:lineRule="auto" w:after="0"/>
            </w:pPr>
            <w:r/>
            <w:r>
              <w:rPr>
                <w:rFonts w:ascii="Times New Roman" w:hAnsi="Times New Roman"/>
                <w:b w:val="0"/>
                <w:sz w:val="20"/>
              </w:rPr>
              <w:t>Negative class</w:t>
            </w:r>
          </w:p>
        </w:tc>
      </w:tr>
      <w:tr>
        <w:tc>
          <w:tcPr>
            <w:tcW w:type="dxa" w:w="2835"/>
            <w:vAlign w:val="center"/>
          </w:tcPr>
          <w:p>
            <w:pPr>
              <w:spacing w:line="240" w:lineRule="auto" w:after="0"/>
            </w:pPr>
            <w:r/>
            <w:r>
              <w:rPr>
                <w:rFonts w:ascii="Times New Roman" w:hAnsi="Times New Roman"/>
                <w:b w:val="0"/>
                <w:sz w:val="20"/>
              </w:rPr>
              <w:t>Missing text</w:t>
            </w:r>
          </w:p>
        </w:tc>
        <w:tc>
          <w:tcPr>
            <w:tcW w:type="dxa" w:w="2835"/>
            <w:vAlign w:val="center"/>
          </w:tcPr>
          <w:p>
            <w:pPr>
              <w:spacing w:line="240" w:lineRule="auto" w:after="0"/>
            </w:pPr>
            <w:r/>
            <w:r>
              <w:rPr>
                <w:rFonts w:ascii="Times New Roman" w:hAnsi="Times New Roman"/>
                <w:b w:val="0"/>
                <w:sz w:val="20"/>
              </w:rPr>
              <w:t>0</w:t>
            </w:r>
          </w:p>
        </w:tc>
        <w:tc>
          <w:tcPr>
            <w:tcW w:type="dxa" w:w="2835"/>
            <w:vAlign w:val="center"/>
          </w:tcPr>
          <w:p>
            <w:pPr>
              <w:spacing w:line="240" w:lineRule="auto" w:after="0"/>
            </w:pPr>
            <w:r/>
            <w:r>
              <w:rPr>
                <w:rFonts w:ascii="Times New Roman" w:hAnsi="Times New Roman"/>
                <w:b w:val="0"/>
                <w:sz w:val="20"/>
              </w:rPr>
              <w:t>No removal required for missing text</w:t>
            </w:r>
          </w:p>
        </w:tc>
      </w:tr>
      <w:tr>
        <w:tc>
          <w:tcPr>
            <w:tcW w:type="dxa" w:w="2835"/>
            <w:vAlign w:val="center"/>
          </w:tcPr>
          <w:p>
            <w:pPr>
              <w:spacing w:line="240" w:lineRule="auto" w:after="0"/>
            </w:pPr>
            <w:r/>
            <w:r>
              <w:rPr>
                <w:rFonts w:ascii="Times New Roman" w:hAnsi="Times New Roman"/>
                <w:b w:val="0"/>
                <w:sz w:val="20"/>
              </w:rPr>
              <w:t>Unique text</w:t>
            </w:r>
          </w:p>
        </w:tc>
        <w:tc>
          <w:tcPr>
            <w:tcW w:type="dxa" w:w="2835"/>
            <w:vAlign w:val="center"/>
          </w:tcPr>
          <w:p>
            <w:pPr>
              <w:spacing w:line="240" w:lineRule="auto" w:after="0"/>
            </w:pPr>
            <w:r/>
            <w:r>
              <w:rPr>
                <w:rFonts w:ascii="Times New Roman" w:hAnsi="Times New Roman"/>
                <w:b w:val="0"/>
                <w:sz w:val="20"/>
              </w:rPr>
              <w:t>8,615</w:t>
            </w:r>
          </w:p>
        </w:tc>
        <w:tc>
          <w:tcPr>
            <w:tcW w:type="dxa" w:w="2835"/>
            <w:vAlign w:val="center"/>
          </w:tcPr>
          <w:p>
            <w:pPr>
              <w:spacing w:line="240" w:lineRule="auto" w:after="0"/>
            </w:pPr>
            <w:r/>
            <w:r>
              <w:rPr>
                <w:rFonts w:ascii="Times New Roman" w:hAnsi="Times New Roman"/>
                <w:b w:val="0"/>
                <w:sz w:val="20"/>
              </w:rPr>
              <w:t>Retained as distinct reports</w:t>
            </w:r>
          </w:p>
        </w:tc>
      </w:tr>
      <w:tr>
        <w:tc>
          <w:tcPr>
            <w:tcW w:type="dxa" w:w="2835"/>
            <w:vAlign w:val="center"/>
          </w:tcPr>
          <w:p>
            <w:pPr>
              <w:spacing w:line="240" w:lineRule="auto" w:after="0"/>
            </w:pPr>
            <w:r/>
            <w:r>
              <w:rPr>
                <w:rFonts w:ascii="Times New Roman" w:hAnsi="Times New Roman"/>
                <w:b w:val="0"/>
                <w:sz w:val="20"/>
              </w:rPr>
              <w:t>Duplicate text</w:t>
            </w:r>
          </w:p>
        </w:tc>
        <w:tc>
          <w:tcPr>
            <w:tcW w:type="dxa" w:w="2835"/>
            <w:vAlign w:val="center"/>
          </w:tcPr>
          <w:p>
            <w:pPr>
              <w:spacing w:line="240" w:lineRule="auto" w:after="0"/>
            </w:pPr>
            <w:r/>
            <w:r>
              <w:rPr>
                <w:rFonts w:ascii="Times New Roman" w:hAnsi="Times New Roman"/>
                <w:b w:val="0"/>
                <w:sz w:val="20"/>
              </w:rPr>
              <w:t>1,384</w:t>
            </w:r>
          </w:p>
        </w:tc>
        <w:tc>
          <w:tcPr>
            <w:tcW w:type="dxa" w:w="2835"/>
            <w:vAlign w:val="center"/>
          </w:tcPr>
          <w:p>
            <w:pPr>
              <w:spacing w:line="240" w:lineRule="auto" w:after="0"/>
            </w:pPr>
            <w:r/>
            <w:r>
              <w:rPr>
                <w:rFonts w:ascii="Times New Roman" w:hAnsi="Times New Roman"/>
                <w:b w:val="0"/>
                <w:sz w:val="20"/>
              </w:rPr>
              <w:t>Removed before final partitioning</w:t>
            </w:r>
          </w:p>
        </w:tc>
      </w:tr>
      <w:tr>
        <w:tc>
          <w:tcPr>
            <w:tcW w:type="dxa" w:w="2835"/>
            <w:vAlign w:val="center"/>
          </w:tcPr>
          <w:p>
            <w:pPr>
              <w:spacing w:line="240" w:lineRule="auto" w:after="0"/>
            </w:pPr>
            <w:r/>
            <w:r>
              <w:rPr>
                <w:rFonts w:ascii="Times New Roman" w:hAnsi="Times New Roman"/>
                <w:b w:val="0"/>
                <w:sz w:val="20"/>
              </w:rPr>
              <w:t>Task type</w:t>
            </w:r>
          </w:p>
        </w:tc>
        <w:tc>
          <w:tcPr>
            <w:tcW w:type="dxa" w:w="2835"/>
            <w:vAlign w:val="center"/>
          </w:tcPr>
          <w:p>
            <w:pPr>
              <w:spacing w:line="240" w:lineRule="auto" w:after="0"/>
            </w:pPr>
            <w:r/>
            <w:r>
              <w:rPr>
                <w:rFonts w:ascii="Times New Roman" w:hAnsi="Times New Roman"/>
                <w:b w:val="0"/>
                <w:sz w:val="20"/>
              </w:rPr>
              <w:t>Binary text classification</w:t>
            </w:r>
          </w:p>
        </w:tc>
        <w:tc>
          <w:tcPr>
            <w:tcW w:type="dxa" w:w="2835"/>
            <w:vAlign w:val="center"/>
          </w:tcPr>
          <w:p>
            <w:pPr>
              <w:spacing w:line="240" w:lineRule="auto" w:after="0"/>
            </w:pPr>
            <w:r/>
            <w:r>
              <w:rPr>
                <w:rFonts w:ascii="Times New Roman" w:hAnsi="Times New Roman"/>
                <w:b w:val="0"/>
                <w:sz w:val="20"/>
              </w:rPr>
              <w:t>Crime-related versus not crime-related</w:t>
            </w:r>
          </w:p>
        </w:tc>
      </w:tr>
    </w:tbl>
    <w:p>
      <w:pPr>
        <w:spacing w:after="0"/>
      </w:pPr>
    </w:p>
    <w:p>
      <w:pPr>
        <w:pStyle w:val="Heading2"/>
      </w:pPr>
      <w:r>
        <w:t>3.5.2 Data Preparation</w:t>
      </w:r>
    </w:p>
    <w:p>
      <w:pPr>
        <w:pStyle w:val="Heading3"/>
      </w:pPr>
      <w:r>
        <w:t>3.5.2.1 Label and Record Validation</w:t>
      </w:r>
    </w:p>
    <w:p>
      <w:r>
        <w:t>Column names and category values were normalized, and only the two permitted target labels were retained. Empty text, invalid labels, and unusable auxiliary data were excluded. Exact duplicated text was removed before splitting. This ordering ensures that the same report cannot appear in more than one data partition.</w:t>
      </w:r>
    </w:p>
    <w:p>
      <w:pPr>
        <w:pStyle w:val="Heading3"/>
      </w:pPr>
      <w:r>
        <w:t>3.5.2.2 Text Cleaning and Normalization</w:t>
      </w:r>
    </w:p>
    <w:p>
      <w:r>
        <w:t>Text cleaning removed repeated whitespace and common extraction artefacts while preserving words that may carry crime meaning. Lowercasing was used where appropriate for classical models. Somali characters and meaningful punctuation were not indiscriminately deleted. URL content and page boilerplate were cleaned before analysis to reduce navigation, advertisement, and footer noise.</w:t>
      </w:r>
    </w:p>
    <w:p>
      <w:pPr>
        <w:pStyle w:val="Heading3"/>
      </w:pPr>
      <w:r>
        <w:t>3.5.2.3 Tokenization</w:t>
      </w:r>
    </w:p>
    <w:p>
      <w:r>
        <w:t>Two representation paths were used. Classical and word-level neural baselines used cleaned tokens suitable for statistical or vocabulary-based representations. SomBERTa models used their associated subword tokenizer. SomBERTa-B was configured with a maximum sequence length of 256 tokens, padding shorter sequences and truncating longer sequences consistently. Attention masks distinguished actual tokens from padding. The tokenizer used at inference is the same tokenizer saved with the selected training artefact.</w:t>
      </w:r>
    </w:p>
    <w:p>
      <w:pPr>
        <w:pStyle w:val="Heading3"/>
      </w:pPr>
      <w:r>
        <w:t>3.5.2.4 Stop-word Handling</w:t>
      </w:r>
    </w:p>
    <w:p>
      <w:r>
        <w:t>A Somali stop-word list supported classical feature experiments by reducing very frequent low-information terms. Stop-word removal was not applied blindly to transformer input because contextual encoders are trained to interpret function words and sentence structure. This distinction prevents classical preprocessing assumptions from damaging the contextual model representation.</w:t>
      </w:r>
    </w:p>
    <w:p>
      <w:pPr>
        <w:pStyle w:val="Heading3"/>
      </w:pPr>
      <w:r>
        <w:t>3.5.2.5 TF-IDF Feature Representation</w:t>
      </w:r>
    </w:p>
    <w:p>
      <w:r>
        <w:t>Term Frequency-Inverse Document Frequency (TF-IDF) transformed cleaned text into sparse numerical features for Logistic Regression, Naive Bayes, Decision Tree, Random Forest, Gradient Boosting, Linear SVM, and K-Nearest Neighbours. Word-feature limits and n-gram ranges were compared on validation data. TF-IDF was therefore a baseline and classical-model representation; it was not the input representation of the deployed SomBERTa-B transformer.</w:t>
      </w:r>
    </w:p>
    <w:p>
      <w:pPr>
        <w:pStyle w:val="Heading3"/>
      </w:pPr>
      <w:r>
        <w:t>3.5.2.6 Train-Validation-Test Split</w:t>
      </w:r>
    </w:p>
    <w:p>
      <w:r>
        <w:t>After quality control, the data was divided using stratified sampling so that both labels retained similar proportions in the training, validation, and test sets. The training set was used to fit model parameters. The validation set supported feature, hyperparameter, epoch, and architecture decisions. The held-out test set was evaluated only after selection. Final SomBERTa experiment metadata recorded 5,906 training observations, and the selected SomBERTa-B configuration was trained for four epochs.</w:t>
      </w:r>
    </w:p>
    <w:p>
      <w:pPr>
        <w:pStyle w:val="Heading3"/>
      </w:pPr>
      <w:r>
        <w:t>3.5.2.7 Class Balance</w:t>
      </w:r>
    </w:p>
    <w:p>
      <w:r>
        <w:t>The original target counts differed by only one record. Consequently, aggressive resampling was unnecessary. Stratification maintained this balance after partitioning. Accuracy was reported, but weighted precision, weighted recall, weighted F1-score, and crime-class recall were also required because the operational cost of a missed crime report is higher than the cost implied by an average error alone.</w:t>
      </w:r>
    </w:p>
    <w:p>
      <w:pPr>
        <w:pStyle w:val="Heading3"/>
      </w:pPr>
      <w:r>
        <w:t>3.5.2.8 Outlier and Length Analysis</w:t>
      </w:r>
    </w:p>
    <w:p>
      <w:r>
        <w:t>Character, word, and token lengths were inspected by class to identify empty, extremely short, and unusually long reports. Long inputs were not automatically assumed invalid because news and web reports can be extensive. The transformer length limit applied a consistent computational boundary, while URL extraction and cleaning reduced unrelated page content. Length analysis also confirmed that report length alone could not reliably distinguish the two classes.</w:t>
      </w:r>
    </w:p>
    <w:p>
      <w:pPr>
        <w:pStyle w:val="Heading2"/>
      </w:pPr>
      <w:r>
        <w:t>3.5.3 Model and Algorithm Development</w:t>
      </w:r>
    </w:p>
    <w:p>
      <w:pPr>
        <w:pStyle w:val="Heading3"/>
      </w:pPr>
      <w:r>
        <w:t>3.5.3.1 Classical Machine-Learning Baselines</w:t>
      </w:r>
    </w:p>
    <w:p>
      <w:r>
        <w:t>Seven principal classical algorithms were trained with TF-IDF features: Logistic Regression, Naive Bayes, Decision Tree, Random Forest, Gradient Boosting, Linear SVM, and K-Nearest Neighbours. A baseline Linear SVM configuration provided an initial reference, while optimized feature configurations and hyperparameters supported fairer comparison. Linear SVM and Random Forest were particularly strong classical candidates: the former produced the strongest classical overall accuracy, while the latter produced high crime recall.</w:t>
      </w:r>
    </w:p>
    <w:p>
      <w:pPr>
        <w:pStyle w:val="Heading3"/>
      </w:pPr>
      <w:r>
        <w:t>3.5.3.2 Neural Baselines</w:t>
      </w:r>
    </w:p>
    <w:p>
      <w:r>
        <w:t>A one-dimensional convolutional neural network and a bidirectional long short-term memory network were trained to evaluate whether word-level neural sequence modelling improved upon sparse classical features. The 1D-CNN captured local phrase patterns through convolution, while the BiLSTM processed contextual sequence information in both directions. Both were evaluated on the same target task and partitions.</w:t>
      </w:r>
    </w:p>
    <w:p>
      <w:pPr>
        <w:pStyle w:val="Heading3"/>
      </w:pPr>
      <w:r>
        <w:t>3.5.3.3 Somali Transformer Models</w:t>
      </w:r>
    </w:p>
    <w:p>
      <w:r>
        <w:t>SomBERTa-A and SomBERTa-B were trained as encoder-only transformer classifiers. The selected SomBERTa-B artefact uses a BERT sequence-classification architecture with 10 hidden layers, hidden size 768, six attention heads, intermediate size 3,072, dropout probability 0.1, and a vocabulary of 70,000 tokens. Its output layer maps label 0 to not crime-related and label 1 to crime-related. SomBERTa-B used a maximum input length of 256 tokens and was fine-tuned for four epochs in the final full experiment.</w:t>
      </w:r>
    </w:p>
    <w:p>
      <w:pPr>
        <w:spacing w:line="240" w:lineRule="auto" w:after="80"/>
      </w:pPr>
      <w:r>
        <w:rPr>
          <w:b/>
          <w:sz w:val="22"/>
        </w:rPr>
        <w:t>Table 3.3: Candidate model families</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vAlign w:val="center"/>
            <w:shd w:fill="D9EAF7"/>
          </w:tcPr>
          <w:p>
            <w:pPr>
              <w:spacing w:line="240" w:lineRule="auto" w:after="0"/>
            </w:pPr>
            <w:r/>
            <w:r>
              <w:rPr>
                <w:rFonts w:ascii="Times New Roman" w:hAnsi="Times New Roman"/>
                <w:b/>
                <w:sz w:val="20"/>
              </w:rPr>
              <w:t>Family</w:t>
            </w:r>
          </w:p>
        </w:tc>
        <w:tc>
          <w:tcPr>
            <w:tcW w:type="dxa" w:w="2835"/>
            <w:vAlign w:val="center"/>
            <w:shd w:fill="D9EAF7"/>
          </w:tcPr>
          <w:p>
            <w:pPr>
              <w:spacing w:line="240" w:lineRule="auto" w:after="0"/>
            </w:pPr>
            <w:r/>
            <w:r>
              <w:rPr>
                <w:rFonts w:ascii="Times New Roman" w:hAnsi="Times New Roman"/>
                <w:b/>
                <w:sz w:val="20"/>
              </w:rPr>
              <w:t>Models</w:t>
            </w:r>
          </w:p>
        </w:tc>
        <w:tc>
          <w:tcPr>
            <w:tcW w:type="dxa" w:w="2835"/>
            <w:vAlign w:val="center"/>
            <w:shd w:fill="D9EAF7"/>
          </w:tcPr>
          <w:p>
            <w:pPr>
              <w:spacing w:line="240" w:lineRule="auto" w:after="0"/>
            </w:pPr>
            <w:r/>
            <w:r>
              <w:rPr>
                <w:rFonts w:ascii="Times New Roman" w:hAnsi="Times New Roman"/>
                <w:b/>
                <w:sz w:val="20"/>
              </w:rPr>
              <w:t>Purpose</w:t>
            </w:r>
          </w:p>
        </w:tc>
      </w:tr>
      <w:tr>
        <w:tc>
          <w:tcPr>
            <w:tcW w:type="dxa" w:w="2835"/>
            <w:vAlign w:val="center"/>
          </w:tcPr>
          <w:p>
            <w:pPr>
              <w:spacing w:line="240" w:lineRule="auto" w:after="0"/>
            </w:pPr>
            <w:r/>
            <w:r>
              <w:rPr>
                <w:rFonts w:ascii="Times New Roman" w:hAnsi="Times New Roman"/>
                <w:b w:val="0"/>
                <w:sz w:val="20"/>
              </w:rPr>
              <w:t>Classical ML</w:t>
            </w:r>
          </w:p>
        </w:tc>
        <w:tc>
          <w:tcPr>
            <w:tcW w:type="dxa" w:w="2835"/>
            <w:vAlign w:val="center"/>
          </w:tcPr>
          <w:p>
            <w:pPr>
              <w:spacing w:line="240" w:lineRule="auto" w:after="0"/>
            </w:pPr>
            <w:r/>
            <w:r>
              <w:rPr>
                <w:rFonts w:ascii="Times New Roman" w:hAnsi="Times New Roman"/>
                <w:b w:val="0"/>
                <w:sz w:val="20"/>
              </w:rPr>
              <w:t>Logistic Regression, Naive Bayes, Decision Tree, Random Forest, Gradient Boosting, Linear SVM and KNN</w:t>
            </w:r>
          </w:p>
        </w:tc>
        <w:tc>
          <w:tcPr>
            <w:tcW w:type="dxa" w:w="2835"/>
            <w:vAlign w:val="center"/>
          </w:tcPr>
          <w:p>
            <w:pPr>
              <w:spacing w:line="240" w:lineRule="auto" w:after="0"/>
            </w:pPr>
            <w:r/>
            <w:r>
              <w:rPr>
                <w:rFonts w:ascii="Times New Roman" w:hAnsi="Times New Roman"/>
                <w:b w:val="0"/>
                <w:sz w:val="20"/>
              </w:rPr>
              <w:t>Strong interpretable and computationally efficient TF-IDF baselines</w:t>
            </w:r>
          </w:p>
        </w:tc>
      </w:tr>
      <w:tr>
        <w:tc>
          <w:tcPr>
            <w:tcW w:type="dxa" w:w="2835"/>
            <w:vAlign w:val="center"/>
          </w:tcPr>
          <w:p>
            <w:pPr>
              <w:spacing w:line="240" w:lineRule="auto" w:after="0"/>
            </w:pPr>
            <w:r/>
            <w:r>
              <w:rPr>
                <w:rFonts w:ascii="Times New Roman" w:hAnsi="Times New Roman"/>
                <w:b w:val="0"/>
                <w:sz w:val="20"/>
              </w:rPr>
              <w:t>Word-level deep learning</w:t>
            </w:r>
          </w:p>
        </w:tc>
        <w:tc>
          <w:tcPr>
            <w:tcW w:type="dxa" w:w="2835"/>
            <w:vAlign w:val="center"/>
          </w:tcPr>
          <w:p>
            <w:pPr>
              <w:spacing w:line="240" w:lineRule="auto" w:after="0"/>
            </w:pPr>
            <w:r/>
            <w:r>
              <w:rPr>
                <w:rFonts w:ascii="Times New Roman" w:hAnsi="Times New Roman"/>
                <w:b w:val="0"/>
                <w:sz w:val="20"/>
              </w:rPr>
              <w:t>1D-CNN and BiLSTM</w:t>
            </w:r>
          </w:p>
        </w:tc>
        <w:tc>
          <w:tcPr>
            <w:tcW w:type="dxa" w:w="2835"/>
            <w:vAlign w:val="center"/>
          </w:tcPr>
          <w:p>
            <w:pPr>
              <w:spacing w:line="240" w:lineRule="auto" w:after="0"/>
            </w:pPr>
            <w:r/>
            <w:r>
              <w:rPr>
                <w:rFonts w:ascii="Times New Roman" w:hAnsi="Times New Roman"/>
                <w:b w:val="0"/>
                <w:sz w:val="20"/>
              </w:rPr>
              <w:t>Local phrase and sequential-context comparison</w:t>
            </w:r>
          </w:p>
        </w:tc>
      </w:tr>
      <w:tr>
        <w:tc>
          <w:tcPr>
            <w:tcW w:type="dxa" w:w="2835"/>
            <w:vAlign w:val="center"/>
          </w:tcPr>
          <w:p>
            <w:pPr>
              <w:spacing w:line="240" w:lineRule="auto" w:after="0"/>
            </w:pPr>
            <w:r/>
            <w:r>
              <w:rPr>
                <w:rFonts w:ascii="Times New Roman" w:hAnsi="Times New Roman"/>
                <w:b w:val="0"/>
                <w:sz w:val="20"/>
              </w:rPr>
              <w:t>Encoder-only transformers</w:t>
            </w:r>
          </w:p>
        </w:tc>
        <w:tc>
          <w:tcPr>
            <w:tcW w:type="dxa" w:w="2835"/>
            <w:vAlign w:val="center"/>
          </w:tcPr>
          <w:p>
            <w:pPr>
              <w:spacing w:line="240" w:lineRule="auto" w:after="0"/>
            </w:pPr>
            <w:r/>
            <w:r>
              <w:rPr>
                <w:rFonts w:ascii="Times New Roman" w:hAnsi="Times New Roman"/>
                <w:b w:val="0"/>
                <w:sz w:val="20"/>
              </w:rPr>
              <w:t>SomBERTa-A and SomBERTa-B</w:t>
            </w:r>
          </w:p>
        </w:tc>
        <w:tc>
          <w:tcPr>
            <w:tcW w:type="dxa" w:w="2835"/>
            <w:vAlign w:val="center"/>
          </w:tcPr>
          <w:p>
            <w:pPr>
              <w:spacing w:line="240" w:lineRule="auto" w:after="0"/>
            </w:pPr>
            <w:r/>
            <w:r>
              <w:rPr>
                <w:rFonts w:ascii="Times New Roman" w:hAnsi="Times New Roman"/>
                <w:b w:val="0"/>
                <w:sz w:val="20"/>
              </w:rPr>
              <w:t>Contextual Somali representation and final model selection</w:t>
            </w:r>
          </w:p>
        </w:tc>
      </w:tr>
    </w:tbl>
    <w:p>
      <w:pPr>
        <w:spacing w:after="0"/>
      </w:pPr>
    </w:p>
    <w:p>
      <w:pPr>
        <w:pStyle w:val="Heading2"/>
      </w:pPr>
      <w:r>
        <w:t>3.5.4 Model Training, Evaluation and Selection</w:t>
      </w:r>
    </w:p>
    <w:p>
      <w:r>
        <w:t>Model training was performed using the training partition. Validation results guided TF-IDF configuration, hyperparameters, neural architecture choices, and transformer epoch selection. Candidate models were compared using accuracy, weighted precision, weighted recall, weighted F1-score, and crime-class recall. Confusion matrices were used to examine false positives and false negatives, while ROC analysis assessed discrimination across thresholds. Training time and deployment feasibility were considered secondary to predictive quality and crime recall.</w:t>
      </w:r>
    </w:p>
    <w:p>
      <w:pPr>
        <w:spacing w:line="240" w:lineRule="auto" w:after="80"/>
      </w:pPr>
      <w:r>
        <w:rPr>
          <w:b/>
          <w:sz w:val="22"/>
        </w:rPr>
        <w:t>Table 3.4: Evaluation measures</w:t>
      </w:r>
    </w:p>
    <w:tbl>
      <w:tblPr>
        <w:tblStyle w:val="TableGrid"/>
        <w:tblW w:type="auto" w:w="0"/>
        <w:jc w:val="center"/>
        <w:tblLayout w:type="autofit"/>
        <w:tblLook w:firstColumn="1" w:firstRow="1" w:lastColumn="0" w:lastRow="0" w:noHBand="0" w:noVBand="1" w:val="04A0"/>
      </w:tblPr>
      <w:tblGrid>
        <w:gridCol w:w="4252"/>
        <w:gridCol w:w="4252"/>
      </w:tblGrid>
      <w:tr>
        <w:tc>
          <w:tcPr>
            <w:tcW w:type="dxa" w:w="4252"/>
            <w:vAlign w:val="center"/>
            <w:shd w:fill="D9EAF7"/>
          </w:tcPr>
          <w:p>
            <w:pPr>
              <w:spacing w:line="240" w:lineRule="auto" w:after="0"/>
            </w:pPr>
            <w:r/>
            <w:r>
              <w:rPr>
                <w:rFonts w:ascii="Times New Roman" w:hAnsi="Times New Roman"/>
                <w:b/>
                <w:sz w:val="20"/>
              </w:rPr>
              <w:t>Measure</w:t>
            </w:r>
          </w:p>
        </w:tc>
        <w:tc>
          <w:tcPr>
            <w:tcW w:type="dxa" w:w="4252"/>
            <w:vAlign w:val="center"/>
            <w:shd w:fill="D9EAF7"/>
          </w:tcPr>
          <w:p>
            <w:pPr>
              <w:spacing w:line="240" w:lineRule="auto" w:after="0"/>
            </w:pPr>
            <w:r/>
            <w:r>
              <w:rPr>
                <w:rFonts w:ascii="Times New Roman" w:hAnsi="Times New Roman"/>
                <w:b/>
                <w:sz w:val="20"/>
              </w:rPr>
              <w:t>Definition and reason for use</w:t>
            </w:r>
          </w:p>
        </w:tc>
      </w:tr>
      <w:tr>
        <w:tc>
          <w:tcPr>
            <w:tcW w:type="dxa" w:w="4252"/>
            <w:vAlign w:val="center"/>
          </w:tcPr>
          <w:p>
            <w:pPr>
              <w:spacing w:line="240" w:lineRule="auto" w:after="0"/>
            </w:pPr>
            <w:r/>
            <w:r>
              <w:rPr>
                <w:rFonts w:ascii="Times New Roman" w:hAnsi="Times New Roman"/>
                <w:b w:val="0"/>
                <w:sz w:val="20"/>
              </w:rPr>
              <w:t>Accuracy</w:t>
            </w:r>
          </w:p>
        </w:tc>
        <w:tc>
          <w:tcPr>
            <w:tcW w:type="dxa" w:w="4252"/>
            <w:vAlign w:val="center"/>
          </w:tcPr>
          <w:p>
            <w:pPr>
              <w:spacing w:line="240" w:lineRule="auto" w:after="0"/>
            </w:pPr>
            <w:r/>
            <w:r>
              <w:rPr>
                <w:rFonts w:ascii="Times New Roman" w:hAnsi="Times New Roman"/>
                <w:b w:val="0"/>
                <w:sz w:val="20"/>
              </w:rPr>
              <w:t>Proportion of all test reports classified correctly; informative because the classes are balanced</w:t>
            </w:r>
          </w:p>
        </w:tc>
      </w:tr>
      <w:tr>
        <w:tc>
          <w:tcPr>
            <w:tcW w:type="dxa" w:w="4252"/>
            <w:vAlign w:val="center"/>
          </w:tcPr>
          <w:p>
            <w:pPr>
              <w:spacing w:line="240" w:lineRule="auto" w:after="0"/>
            </w:pPr>
            <w:r/>
            <w:r>
              <w:rPr>
                <w:rFonts w:ascii="Times New Roman" w:hAnsi="Times New Roman"/>
                <w:b w:val="0"/>
                <w:sz w:val="20"/>
              </w:rPr>
              <w:t>Precision</w:t>
            </w:r>
          </w:p>
        </w:tc>
        <w:tc>
          <w:tcPr>
            <w:tcW w:type="dxa" w:w="4252"/>
            <w:vAlign w:val="center"/>
          </w:tcPr>
          <w:p>
            <w:pPr>
              <w:spacing w:line="240" w:lineRule="auto" w:after="0"/>
            </w:pPr>
            <w:r/>
            <w:r>
              <w:rPr>
                <w:rFonts w:ascii="Times New Roman" w:hAnsi="Times New Roman"/>
                <w:b w:val="0"/>
                <w:sz w:val="20"/>
              </w:rPr>
              <w:t>Proportion of predicted instances that belong to the stated class; reflects false-positive behaviour</w:t>
            </w:r>
          </w:p>
        </w:tc>
      </w:tr>
      <w:tr>
        <w:tc>
          <w:tcPr>
            <w:tcW w:type="dxa" w:w="4252"/>
            <w:vAlign w:val="center"/>
          </w:tcPr>
          <w:p>
            <w:pPr>
              <w:spacing w:line="240" w:lineRule="auto" w:after="0"/>
            </w:pPr>
            <w:r/>
            <w:r>
              <w:rPr>
                <w:rFonts w:ascii="Times New Roman" w:hAnsi="Times New Roman"/>
                <w:b w:val="0"/>
                <w:sz w:val="20"/>
              </w:rPr>
              <w:t>Recall</w:t>
            </w:r>
          </w:p>
        </w:tc>
        <w:tc>
          <w:tcPr>
            <w:tcW w:type="dxa" w:w="4252"/>
            <w:vAlign w:val="center"/>
          </w:tcPr>
          <w:p>
            <w:pPr>
              <w:spacing w:line="240" w:lineRule="auto" w:after="0"/>
            </w:pPr>
            <w:r/>
            <w:r>
              <w:rPr>
                <w:rFonts w:ascii="Times New Roman" w:hAnsi="Times New Roman"/>
                <w:b w:val="0"/>
                <w:sz w:val="20"/>
              </w:rPr>
              <w:t>Proportion of actual instances recovered; crime recall is emphasized to quantify missed crime reports</w:t>
            </w:r>
          </w:p>
        </w:tc>
      </w:tr>
      <w:tr>
        <w:tc>
          <w:tcPr>
            <w:tcW w:type="dxa" w:w="4252"/>
            <w:vAlign w:val="center"/>
          </w:tcPr>
          <w:p>
            <w:pPr>
              <w:spacing w:line="240" w:lineRule="auto" w:after="0"/>
            </w:pPr>
            <w:r/>
            <w:r>
              <w:rPr>
                <w:rFonts w:ascii="Times New Roman" w:hAnsi="Times New Roman"/>
                <w:b w:val="0"/>
                <w:sz w:val="20"/>
              </w:rPr>
              <w:t>F1-score</w:t>
            </w:r>
          </w:p>
        </w:tc>
        <w:tc>
          <w:tcPr>
            <w:tcW w:type="dxa" w:w="4252"/>
            <w:vAlign w:val="center"/>
          </w:tcPr>
          <w:p>
            <w:pPr>
              <w:spacing w:line="240" w:lineRule="auto" w:after="0"/>
            </w:pPr>
            <w:r/>
            <w:r>
              <w:rPr>
                <w:rFonts w:ascii="Times New Roman" w:hAnsi="Times New Roman"/>
                <w:b w:val="0"/>
                <w:sz w:val="20"/>
              </w:rPr>
              <w:t>Harmonic balance of precision and recall; supports comparison where both error types matter</w:t>
            </w:r>
          </w:p>
        </w:tc>
      </w:tr>
      <w:tr>
        <w:tc>
          <w:tcPr>
            <w:tcW w:type="dxa" w:w="4252"/>
            <w:vAlign w:val="center"/>
          </w:tcPr>
          <w:p>
            <w:pPr>
              <w:spacing w:line="240" w:lineRule="auto" w:after="0"/>
            </w:pPr>
            <w:r/>
            <w:r>
              <w:rPr>
                <w:rFonts w:ascii="Times New Roman" w:hAnsi="Times New Roman"/>
                <w:b w:val="0"/>
                <w:sz w:val="20"/>
              </w:rPr>
              <w:t>Confusion matrix</w:t>
            </w:r>
          </w:p>
        </w:tc>
        <w:tc>
          <w:tcPr>
            <w:tcW w:type="dxa" w:w="4252"/>
            <w:vAlign w:val="center"/>
          </w:tcPr>
          <w:p>
            <w:pPr>
              <w:spacing w:line="240" w:lineRule="auto" w:after="0"/>
            </w:pPr>
            <w:r/>
            <w:r>
              <w:rPr>
                <w:rFonts w:ascii="Times New Roman" w:hAnsi="Times New Roman"/>
                <w:b w:val="0"/>
                <w:sz w:val="20"/>
              </w:rPr>
              <w:t>Counts correct and incorrect predictions for each class</w:t>
            </w:r>
          </w:p>
        </w:tc>
      </w:tr>
      <w:tr>
        <w:tc>
          <w:tcPr>
            <w:tcW w:type="dxa" w:w="4252"/>
            <w:vAlign w:val="center"/>
          </w:tcPr>
          <w:p>
            <w:pPr>
              <w:spacing w:line="240" w:lineRule="auto" w:after="0"/>
            </w:pPr>
            <w:r/>
            <w:r>
              <w:rPr>
                <w:rFonts w:ascii="Times New Roman" w:hAnsi="Times New Roman"/>
                <w:b w:val="0"/>
                <w:sz w:val="20"/>
              </w:rPr>
              <w:t>ROC/AUC</w:t>
            </w:r>
          </w:p>
        </w:tc>
        <w:tc>
          <w:tcPr>
            <w:tcW w:type="dxa" w:w="4252"/>
            <w:vAlign w:val="center"/>
          </w:tcPr>
          <w:p>
            <w:pPr>
              <w:spacing w:line="240" w:lineRule="auto" w:after="0"/>
            </w:pPr>
            <w:r/>
            <w:r>
              <w:rPr>
                <w:rFonts w:ascii="Times New Roman" w:hAnsi="Times New Roman"/>
                <w:b w:val="0"/>
                <w:sz w:val="20"/>
              </w:rPr>
              <w:t>Evaluates ranking and discrimination over alternative decision thresholds</w:t>
            </w:r>
          </w:p>
        </w:tc>
      </w:tr>
    </w:tbl>
    <w:p>
      <w:pPr>
        <w:spacing w:after="0"/>
      </w:pPr>
    </w:p>
    <w:p>
      <w:r>
        <w:t>The final controlled comparison, reported fully in Chapter Four, selected SomBERTa-B. The all-model experiment recorded approximately 94.63% accuracy, 94.61% weighted F1-score, and 97.17% crime recall, exceeding the overall performance of the classical, convolutional, and recurrent alternatives. Random Forest remained a strong classical benchmark but was superseded after the transformer experiments. This update resolves the earlier methodology description that treated Random Forest as the final deployment candidate.</w:t>
      </w:r>
    </w:p>
    <w:p>
      <w:pPr>
        <w:ind w:firstLine="0"/>
        <w:jc w:val="center"/>
      </w:pPr>
      <w:r>
        <w:drawing>
          <wp:inline xmlns:a="http://schemas.openxmlformats.org/drawingml/2006/main" xmlns:pic="http://schemas.openxmlformats.org/drawingml/2006/picture">
            <wp:extent cx="5220000" cy="2248390"/>
            <wp:docPr id="1" name="Picture 1"/>
            <wp:cNvGraphicFramePr>
              <a:graphicFrameLocks noChangeAspect="1"/>
            </wp:cNvGraphicFramePr>
            <a:graphic>
              <a:graphicData uri="http://schemas.openxmlformats.org/drawingml/2006/picture">
                <pic:pic>
                  <pic:nvPicPr>
                    <pic:cNvPr id="0" name="09_all_model_comparison.png"/>
                    <pic:cNvPicPr/>
                  </pic:nvPicPr>
                  <pic:blipFill>
                    <a:blip r:embed="rId11"/>
                    <a:stretch>
                      <a:fillRect/>
                    </a:stretch>
                  </pic:blipFill>
                  <pic:spPr>
                    <a:xfrm>
                      <a:off x="0" y="0"/>
                      <a:ext cx="5220000" cy="2248390"/>
                    </a:xfrm>
                    <a:prstGeom prst="rect"/>
                  </pic:spPr>
                </pic:pic>
              </a:graphicData>
            </a:graphic>
          </wp:inline>
        </w:drawing>
      </w:r>
    </w:p>
    <w:p>
      <w:pPr>
        <w:spacing w:line="240" w:lineRule="auto"/>
        <w:ind w:firstLine="0"/>
        <w:jc w:val="center"/>
      </w:pPr>
      <w:r>
        <w:rPr>
          <w:rFonts w:ascii="Times New Roman" w:hAnsi="Times New Roman"/>
          <w:i/>
          <w:sz w:val="22"/>
        </w:rPr>
        <w:t>Figure 3.1: Model-selection evidence used for final deployment</w:t>
      </w:r>
    </w:p>
    <w:p>
      <w:r>
        <w:t>The comparative experiment covers classical, word-level deep-learning, and Somali transformer models. The detailed numerical interpretation is presented in Chapter Four; within the methodology, the figure records the evidence basis for selecting SomBERTa-B.</w:t>
      </w:r>
    </w:p>
    <w:p>
      <w:pPr>
        <w:pStyle w:val="Heading2"/>
      </w:pPr>
      <w:r>
        <w:t>3.5.5 Final Model Packaging and Deployment</w:t>
      </w:r>
    </w:p>
    <w:p>
      <w:r>
        <w:t>The selected SomBERTa-B model was stored with its configuration, tokenizer, deployment metadata, label mapping, maximum sequence length, and evaluation information. The Flask service loads the model and tokenizer at start-up, selects the appropriate runtime backend, and exposes health, model-information, and prediction endpoints. The active configuration identifies somberta-b as a transformer backend. Classical model and vectorizer files remain available as comparative artefacts and optional legacy support; they are not described as the primary final inference path.</w:t>
      </w:r>
    </w:p>
    <w:p>
      <w:r>
        <w:t>For each request, the service validates the text, tokenizes it with the saved SomBERTa tokenizer, applies padding and truncation to the configured length, creates attention masks, runs inference without gradient calculation, converts output logits into class probabilities, and returns the predicted label. Deployment metadata binds the binary labels to the correct indices, preventing accidental reversal of crime-related and not crime-related outputs.</w:t>
      </w:r>
    </w:p>
    <w:p>
      <w:pPr>
        <w:pStyle w:val="Heading2"/>
      </w:pPr>
      <w:r>
        <w:t>3.5.6 Hybrid Enrichment and Operational Inference</w:t>
      </w:r>
    </w:p>
    <w:p>
      <w:r>
        <w:t>The raw transformer prediction is followed by a backend enrichment stage. Somali crime expressions are matched using curated rules; known Somali place names are extracted; active blacklist entities are checked; source details are preserved; and confidence information is normalized for presentation. Where configured policy permits, strong domain evidence can flag a record for additional review even when the statistical decision is uncertain. Enrichment results are stored separately from the model identity so that investigators can distinguish learned prediction from rule evidence.</w:t>
      </w:r>
    </w:p>
    <w:p>
      <w:r>
        <w:t>This hybrid design prioritizes operational recall and interpretability, but it also requires careful governance. A keyword match is contextual evidence rather than proof of a crime. Quoted reports, negation, historical discussion, and ordinary news can contain crime vocabulary. The platform therefore routes signals toward human review instead of automatically issuing legal or enforcement conclusions.</w:t>
      </w:r>
    </w:p>
    <w:p>
      <w:pPr>
        <w:pStyle w:val="Heading2"/>
      </w:pPr>
      <w:r>
        <w:t>3.5.7 System Implementation Methodology</w:t>
      </w:r>
    </w:p>
    <w:p>
      <w:r>
        <w:t>Full-stack development followed short iterative cycles. Early iterations established dataset processing, baseline models, and the Flask API. Subsequent iterations implemented authentication, analysis controllers, MongoDB schemas, and the React interfaces. Later iterations added dashboards, blacklist monitoring, cases, notifications, audit logs, reports, dataset export, Facebook and website monitoring, transformer support, integration testing, and documentation. API contracts were expressed as JSON request and response structures, allowing components to be developed and tested independently.</w:t>
      </w:r>
    </w:p>
    <w:p>
      <w:pPr>
        <w:spacing w:line="240" w:lineRule="auto" w:after="80"/>
      </w:pPr>
      <w:r>
        <w:rPr>
          <w:b/>
          <w:sz w:val="22"/>
        </w:rPr>
        <w:t>Table 3.5: Implementation phases</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vAlign w:val="center"/>
            <w:shd w:fill="D9EAF7"/>
          </w:tcPr>
          <w:p>
            <w:pPr>
              <w:spacing w:line="240" w:lineRule="auto" w:after="0"/>
            </w:pPr>
            <w:r/>
            <w:r>
              <w:rPr>
                <w:rFonts w:ascii="Times New Roman" w:hAnsi="Times New Roman"/>
                <w:b/>
                <w:sz w:val="20"/>
              </w:rPr>
              <w:t>Phase</w:t>
            </w:r>
          </w:p>
        </w:tc>
        <w:tc>
          <w:tcPr>
            <w:tcW w:type="dxa" w:w="2835"/>
            <w:vAlign w:val="center"/>
            <w:shd w:fill="D9EAF7"/>
          </w:tcPr>
          <w:p>
            <w:pPr>
              <w:spacing w:line="240" w:lineRule="auto" w:after="0"/>
            </w:pPr>
            <w:r/>
            <w:r>
              <w:rPr>
                <w:rFonts w:ascii="Times New Roman" w:hAnsi="Times New Roman"/>
                <w:b/>
                <w:sz w:val="20"/>
              </w:rPr>
              <w:t>Primary activities</w:t>
            </w:r>
          </w:p>
        </w:tc>
        <w:tc>
          <w:tcPr>
            <w:tcW w:type="dxa" w:w="2835"/>
            <w:vAlign w:val="center"/>
            <w:shd w:fill="D9EAF7"/>
          </w:tcPr>
          <w:p>
            <w:pPr>
              <w:spacing w:line="240" w:lineRule="auto" w:after="0"/>
            </w:pPr>
            <w:r/>
            <w:r>
              <w:rPr>
                <w:rFonts w:ascii="Times New Roman" w:hAnsi="Times New Roman"/>
                <w:b/>
                <w:sz w:val="20"/>
              </w:rPr>
              <w:t>Deliverable</w:t>
            </w:r>
          </w:p>
        </w:tc>
      </w:tr>
      <w:tr>
        <w:tc>
          <w:tcPr>
            <w:tcW w:type="dxa" w:w="2835"/>
            <w:vAlign w:val="center"/>
          </w:tcPr>
          <w:p>
            <w:pPr>
              <w:spacing w:line="240" w:lineRule="auto" w:after="0"/>
            </w:pPr>
            <w:r/>
            <w:r>
              <w:rPr>
                <w:rFonts w:ascii="Times New Roman" w:hAnsi="Times New Roman"/>
                <w:b w:val="0"/>
                <w:sz w:val="20"/>
              </w:rPr>
              <w:t>1. Data and baselines</w:t>
            </w:r>
          </w:p>
        </w:tc>
        <w:tc>
          <w:tcPr>
            <w:tcW w:type="dxa" w:w="2835"/>
            <w:vAlign w:val="center"/>
          </w:tcPr>
          <w:p>
            <w:pPr>
              <w:spacing w:line="240" w:lineRule="auto" w:after="0"/>
            </w:pPr>
            <w:r/>
            <w:r>
              <w:rPr>
                <w:rFonts w:ascii="Times New Roman" w:hAnsi="Times New Roman"/>
                <w:b w:val="0"/>
                <w:sz w:val="20"/>
              </w:rPr>
              <w:t>Dataset inspection, cleaning, duplicate control, TF-IDF and classical models</w:t>
            </w:r>
          </w:p>
        </w:tc>
        <w:tc>
          <w:tcPr>
            <w:tcW w:type="dxa" w:w="2835"/>
            <w:vAlign w:val="center"/>
          </w:tcPr>
          <w:p>
            <w:pPr>
              <w:spacing w:line="240" w:lineRule="auto" w:after="0"/>
            </w:pPr>
            <w:r/>
            <w:r>
              <w:rPr>
                <w:rFonts w:ascii="Times New Roman" w:hAnsi="Times New Roman"/>
                <w:b w:val="0"/>
                <w:sz w:val="20"/>
              </w:rPr>
              <w:t>Validated baseline pipeline</w:t>
            </w:r>
          </w:p>
        </w:tc>
      </w:tr>
      <w:tr>
        <w:tc>
          <w:tcPr>
            <w:tcW w:type="dxa" w:w="2835"/>
            <w:vAlign w:val="center"/>
          </w:tcPr>
          <w:p>
            <w:pPr>
              <w:spacing w:line="240" w:lineRule="auto" w:after="0"/>
            </w:pPr>
            <w:r/>
            <w:r>
              <w:rPr>
                <w:rFonts w:ascii="Times New Roman" w:hAnsi="Times New Roman"/>
                <w:b w:val="0"/>
                <w:sz w:val="20"/>
              </w:rPr>
              <w:t>2. Neural and transformer experiments</w:t>
            </w:r>
          </w:p>
        </w:tc>
        <w:tc>
          <w:tcPr>
            <w:tcW w:type="dxa" w:w="2835"/>
            <w:vAlign w:val="center"/>
          </w:tcPr>
          <w:p>
            <w:pPr>
              <w:spacing w:line="240" w:lineRule="auto" w:after="0"/>
            </w:pPr>
            <w:r/>
            <w:r>
              <w:rPr>
                <w:rFonts w:ascii="Times New Roman" w:hAnsi="Times New Roman"/>
                <w:b w:val="0"/>
                <w:sz w:val="20"/>
              </w:rPr>
              <w:t>1D-CNN, BiLSTM, SomBERTa-A/B and held-out comparison</w:t>
            </w:r>
          </w:p>
        </w:tc>
        <w:tc>
          <w:tcPr>
            <w:tcW w:type="dxa" w:w="2835"/>
            <w:vAlign w:val="center"/>
          </w:tcPr>
          <w:p>
            <w:pPr>
              <w:spacing w:line="240" w:lineRule="auto" w:after="0"/>
            </w:pPr>
            <w:r/>
            <w:r>
              <w:rPr>
                <w:rFonts w:ascii="Times New Roman" w:hAnsi="Times New Roman"/>
                <w:b w:val="0"/>
                <w:sz w:val="20"/>
              </w:rPr>
              <w:t>Selected SomBERTa-B artefact</w:t>
            </w:r>
          </w:p>
        </w:tc>
      </w:tr>
      <w:tr>
        <w:tc>
          <w:tcPr>
            <w:tcW w:type="dxa" w:w="2835"/>
            <w:vAlign w:val="center"/>
          </w:tcPr>
          <w:p>
            <w:pPr>
              <w:spacing w:line="240" w:lineRule="auto" w:after="0"/>
            </w:pPr>
            <w:r/>
            <w:r>
              <w:rPr>
                <w:rFonts w:ascii="Times New Roman" w:hAnsi="Times New Roman"/>
                <w:b w:val="0"/>
                <w:sz w:val="20"/>
              </w:rPr>
              <w:t>3. Core services</w:t>
            </w:r>
          </w:p>
        </w:tc>
        <w:tc>
          <w:tcPr>
            <w:tcW w:type="dxa" w:w="2835"/>
            <w:vAlign w:val="center"/>
          </w:tcPr>
          <w:p>
            <w:pPr>
              <w:spacing w:line="240" w:lineRule="auto" w:after="0"/>
            </w:pPr>
            <w:r/>
            <w:r>
              <w:rPr>
                <w:rFonts w:ascii="Times New Roman" w:hAnsi="Times New Roman"/>
                <w:b w:val="0"/>
                <w:sz w:val="20"/>
              </w:rPr>
              <w:t>Flask inference, Express API, MongoDB schemas and authentication</w:t>
            </w:r>
          </w:p>
        </w:tc>
        <w:tc>
          <w:tcPr>
            <w:tcW w:type="dxa" w:w="2835"/>
            <w:vAlign w:val="center"/>
          </w:tcPr>
          <w:p>
            <w:pPr>
              <w:spacing w:line="240" w:lineRule="auto" w:after="0"/>
            </w:pPr>
            <w:r/>
            <w:r>
              <w:rPr>
                <w:rFonts w:ascii="Times New Roman" w:hAnsi="Times New Roman"/>
                <w:b w:val="0"/>
                <w:sz w:val="20"/>
              </w:rPr>
              <w:t>Integrated service layer</w:t>
            </w:r>
          </w:p>
        </w:tc>
      </w:tr>
      <w:tr>
        <w:tc>
          <w:tcPr>
            <w:tcW w:type="dxa" w:w="2835"/>
            <w:vAlign w:val="center"/>
          </w:tcPr>
          <w:p>
            <w:pPr>
              <w:spacing w:line="240" w:lineRule="auto" w:after="0"/>
            </w:pPr>
            <w:r/>
            <w:r>
              <w:rPr>
                <w:rFonts w:ascii="Times New Roman" w:hAnsi="Times New Roman"/>
                <w:b w:val="0"/>
                <w:sz w:val="20"/>
              </w:rPr>
              <w:t>4. User application</w:t>
            </w:r>
          </w:p>
        </w:tc>
        <w:tc>
          <w:tcPr>
            <w:tcW w:type="dxa" w:w="2835"/>
            <w:vAlign w:val="center"/>
          </w:tcPr>
          <w:p>
            <w:pPr>
              <w:spacing w:line="240" w:lineRule="auto" w:after="0"/>
            </w:pPr>
            <w:r/>
            <w:r>
              <w:rPr>
                <w:rFonts w:ascii="Times New Roman" w:hAnsi="Times New Roman"/>
                <w:b w:val="0"/>
                <w:sz w:val="20"/>
              </w:rPr>
              <w:t>Public analysis and protected role interfaces</w:t>
            </w:r>
          </w:p>
        </w:tc>
        <w:tc>
          <w:tcPr>
            <w:tcW w:type="dxa" w:w="2835"/>
            <w:vAlign w:val="center"/>
          </w:tcPr>
          <w:p>
            <w:pPr>
              <w:spacing w:line="240" w:lineRule="auto" w:after="0"/>
            </w:pPr>
            <w:r/>
            <w:r>
              <w:rPr>
                <w:rFonts w:ascii="Times New Roman" w:hAnsi="Times New Roman"/>
                <w:b w:val="0"/>
                <w:sz w:val="20"/>
              </w:rPr>
              <w:t>React application</w:t>
            </w:r>
          </w:p>
        </w:tc>
      </w:tr>
      <w:tr>
        <w:tc>
          <w:tcPr>
            <w:tcW w:type="dxa" w:w="2835"/>
            <w:vAlign w:val="center"/>
          </w:tcPr>
          <w:p>
            <w:pPr>
              <w:spacing w:line="240" w:lineRule="auto" w:after="0"/>
            </w:pPr>
            <w:r/>
            <w:r>
              <w:rPr>
                <w:rFonts w:ascii="Times New Roman" w:hAnsi="Times New Roman"/>
                <w:b w:val="0"/>
                <w:sz w:val="20"/>
              </w:rPr>
              <w:t>5. Operational workflow</w:t>
            </w:r>
          </w:p>
        </w:tc>
        <w:tc>
          <w:tcPr>
            <w:tcW w:type="dxa" w:w="2835"/>
            <w:vAlign w:val="center"/>
          </w:tcPr>
          <w:p>
            <w:pPr>
              <w:spacing w:line="240" w:lineRule="auto" w:after="0"/>
            </w:pPr>
            <w:r/>
            <w:r>
              <w:rPr>
                <w:rFonts w:ascii="Times New Roman" w:hAnsi="Times New Roman"/>
                <w:b w:val="0"/>
                <w:sz w:val="20"/>
              </w:rPr>
              <w:t>Monitoring, blacklist, cases, reports, notifications and dataset management</w:t>
            </w:r>
          </w:p>
        </w:tc>
        <w:tc>
          <w:tcPr>
            <w:tcW w:type="dxa" w:w="2835"/>
            <w:vAlign w:val="center"/>
          </w:tcPr>
          <w:p>
            <w:pPr>
              <w:spacing w:line="240" w:lineRule="auto" w:after="0"/>
            </w:pPr>
            <w:r/>
            <w:r>
              <w:rPr>
                <w:rFonts w:ascii="Times New Roman" w:hAnsi="Times New Roman"/>
                <w:b w:val="0"/>
                <w:sz w:val="20"/>
              </w:rPr>
              <w:t>End-to-end intelligence workflow</w:t>
            </w:r>
          </w:p>
        </w:tc>
      </w:tr>
      <w:tr>
        <w:tc>
          <w:tcPr>
            <w:tcW w:type="dxa" w:w="2835"/>
            <w:vAlign w:val="center"/>
          </w:tcPr>
          <w:p>
            <w:pPr>
              <w:spacing w:line="240" w:lineRule="auto" w:after="0"/>
            </w:pPr>
            <w:r/>
            <w:r>
              <w:rPr>
                <w:rFonts w:ascii="Times New Roman" w:hAnsi="Times New Roman"/>
                <w:b w:val="0"/>
                <w:sz w:val="20"/>
              </w:rPr>
              <w:t>6. Verification</w:t>
            </w:r>
          </w:p>
        </w:tc>
        <w:tc>
          <w:tcPr>
            <w:tcW w:type="dxa" w:w="2835"/>
            <w:vAlign w:val="center"/>
          </w:tcPr>
          <w:p>
            <w:pPr>
              <w:spacing w:line="240" w:lineRule="auto" w:after="0"/>
            </w:pPr>
            <w:r/>
            <w:r>
              <w:rPr>
                <w:rFonts w:ascii="Times New Roman" w:hAnsi="Times New Roman"/>
                <w:b w:val="0"/>
                <w:sz w:val="20"/>
              </w:rPr>
              <w:t>Unit, health, role, navigation, live-data and model checks</w:t>
            </w:r>
          </w:p>
        </w:tc>
        <w:tc>
          <w:tcPr>
            <w:tcW w:type="dxa" w:w="2835"/>
            <w:vAlign w:val="center"/>
          </w:tcPr>
          <w:p>
            <w:pPr>
              <w:spacing w:line="240" w:lineRule="auto" w:after="0"/>
            </w:pPr>
            <w:r/>
            <w:r>
              <w:rPr>
                <w:rFonts w:ascii="Times New Roman" w:hAnsi="Times New Roman"/>
                <w:b w:val="0"/>
                <w:sz w:val="20"/>
              </w:rPr>
              <w:t>Evidence reported in Chapter Four</w:t>
            </w:r>
          </w:p>
        </w:tc>
      </w:tr>
    </w:tbl>
    <w:p>
      <w:pPr>
        <w:spacing w:after="0"/>
      </w:pPr>
    </w:p>
    <w:p>
      <w:pPr>
        <w:pStyle w:val="Heading1"/>
      </w:pPr>
      <w:r>
        <w:t>3.6 System Development Environment</w:t>
      </w:r>
    </w:p>
    <w:p>
      <w:r>
        <w:t>Development was performed using Python for data processing, model training, evaluation, and Flask inference; JavaScript for the React and Express applications; Jupyter/Colab notebooks for experiments; and Visual Studio Code or equivalent tools for software development. Git-compatible version control supported source management. The frontend used React 19 and Vite, the backend used Node.js with Express 5, and MongoDB stored operational data. Transformer deployment used PyTorch and the Transformers ecosystem, while classical modelling used scikit-learn.</w:t>
      </w:r>
    </w:p>
    <w:p>
      <w:pPr>
        <w:spacing w:line="240" w:lineRule="auto" w:after="80"/>
      </w:pPr>
      <w:r>
        <w:rPr>
          <w:b/>
          <w:sz w:val="22"/>
        </w:rPr>
        <w:t>Table 3.6: Principal software environment</w:t>
      </w:r>
    </w:p>
    <w:tbl>
      <w:tblPr>
        <w:tblStyle w:val="TableGrid"/>
        <w:tblW w:type="auto" w:w="0"/>
        <w:jc w:val="center"/>
        <w:tblLayout w:type="autofit"/>
        <w:tblLook w:firstColumn="1" w:firstRow="1" w:lastColumn="0" w:lastRow="0" w:noHBand="0" w:noVBand="1" w:val="04A0"/>
      </w:tblPr>
      <w:tblGrid>
        <w:gridCol w:w="4252"/>
        <w:gridCol w:w="4252"/>
      </w:tblGrid>
      <w:tr>
        <w:tc>
          <w:tcPr>
            <w:tcW w:type="dxa" w:w="4252"/>
            <w:vAlign w:val="center"/>
            <w:shd w:fill="D9EAF7"/>
          </w:tcPr>
          <w:p>
            <w:pPr>
              <w:spacing w:line="240" w:lineRule="auto" w:after="0"/>
            </w:pPr>
            <w:r/>
            <w:r>
              <w:rPr>
                <w:rFonts w:ascii="Times New Roman" w:hAnsi="Times New Roman"/>
                <w:b/>
                <w:sz w:val="20"/>
              </w:rPr>
              <w:t>Area</w:t>
            </w:r>
          </w:p>
        </w:tc>
        <w:tc>
          <w:tcPr>
            <w:tcW w:type="dxa" w:w="4252"/>
            <w:vAlign w:val="center"/>
            <w:shd w:fill="D9EAF7"/>
          </w:tcPr>
          <w:p>
            <w:pPr>
              <w:spacing w:line="240" w:lineRule="auto" w:after="0"/>
            </w:pPr>
            <w:r/>
            <w:r>
              <w:rPr>
                <w:rFonts w:ascii="Times New Roman" w:hAnsi="Times New Roman"/>
                <w:b/>
                <w:sz w:val="20"/>
              </w:rPr>
              <w:t>Tools and frameworks</w:t>
            </w:r>
          </w:p>
        </w:tc>
      </w:tr>
      <w:tr>
        <w:tc>
          <w:tcPr>
            <w:tcW w:type="dxa" w:w="4252"/>
            <w:vAlign w:val="center"/>
          </w:tcPr>
          <w:p>
            <w:pPr>
              <w:spacing w:line="240" w:lineRule="auto" w:after="0"/>
            </w:pPr>
            <w:r/>
            <w:r>
              <w:rPr>
                <w:rFonts w:ascii="Times New Roman" w:hAnsi="Times New Roman"/>
                <w:b w:val="0"/>
                <w:sz w:val="20"/>
              </w:rPr>
              <w:t>Data and classical ML</w:t>
            </w:r>
          </w:p>
        </w:tc>
        <w:tc>
          <w:tcPr>
            <w:tcW w:type="dxa" w:w="4252"/>
            <w:vAlign w:val="center"/>
          </w:tcPr>
          <w:p>
            <w:pPr>
              <w:spacing w:line="240" w:lineRule="auto" w:after="0"/>
            </w:pPr>
            <w:r/>
            <w:r>
              <w:rPr>
                <w:rFonts w:ascii="Times New Roman" w:hAnsi="Times New Roman"/>
                <w:b w:val="0"/>
                <w:sz w:val="20"/>
              </w:rPr>
              <w:t>Python, pandas, NumPy, scikit-learn and joblib</w:t>
            </w:r>
          </w:p>
        </w:tc>
      </w:tr>
      <w:tr>
        <w:tc>
          <w:tcPr>
            <w:tcW w:type="dxa" w:w="4252"/>
            <w:vAlign w:val="center"/>
          </w:tcPr>
          <w:p>
            <w:pPr>
              <w:spacing w:line="240" w:lineRule="auto" w:after="0"/>
            </w:pPr>
            <w:r/>
            <w:r>
              <w:rPr>
                <w:rFonts w:ascii="Times New Roman" w:hAnsi="Times New Roman"/>
                <w:b w:val="0"/>
                <w:sz w:val="20"/>
              </w:rPr>
              <w:t>Transformer NLP</w:t>
            </w:r>
          </w:p>
        </w:tc>
        <w:tc>
          <w:tcPr>
            <w:tcW w:type="dxa" w:w="4252"/>
            <w:vAlign w:val="center"/>
          </w:tcPr>
          <w:p>
            <w:pPr>
              <w:spacing w:line="240" w:lineRule="auto" w:after="0"/>
            </w:pPr>
            <w:r/>
            <w:r>
              <w:rPr>
                <w:rFonts w:ascii="Times New Roman" w:hAnsi="Times New Roman"/>
                <w:b w:val="0"/>
                <w:sz w:val="20"/>
              </w:rPr>
              <w:t>PyTorch, Transformers-compatible runtime and SomBERTa tokenizer/model</w:t>
            </w:r>
          </w:p>
        </w:tc>
      </w:tr>
      <w:tr>
        <w:tc>
          <w:tcPr>
            <w:tcW w:type="dxa" w:w="4252"/>
            <w:vAlign w:val="center"/>
          </w:tcPr>
          <w:p>
            <w:pPr>
              <w:spacing w:line="240" w:lineRule="auto" w:after="0"/>
            </w:pPr>
            <w:r/>
            <w:r>
              <w:rPr>
                <w:rFonts w:ascii="Times New Roman" w:hAnsi="Times New Roman"/>
                <w:b w:val="0"/>
                <w:sz w:val="20"/>
              </w:rPr>
              <w:t>AI API</w:t>
            </w:r>
          </w:p>
        </w:tc>
        <w:tc>
          <w:tcPr>
            <w:tcW w:type="dxa" w:w="4252"/>
            <w:vAlign w:val="center"/>
          </w:tcPr>
          <w:p>
            <w:pPr>
              <w:spacing w:line="240" w:lineRule="auto" w:after="0"/>
            </w:pPr>
            <w:r/>
            <w:r>
              <w:rPr>
                <w:rFonts w:ascii="Times New Roman" w:hAnsi="Times New Roman"/>
                <w:b w:val="0"/>
                <w:sz w:val="20"/>
              </w:rPr>
              <w:t>Flask</w:t>
            </w:r>
          </w:p>
        </w:tc>
      </w:tr>
      <w:tr>
        <w:tc>
          <w:tcPr>
            <w:tcW w:type="dxa" w:w="4252"/>
            <w:vAlign w:val="center"/>
          </w:tcPr>
          <w:p>
            <w:pPr>
              <w:spacing w:line="240" w:lineRule="auto" w:after="0"/>
            </w:pPr>
            <w:r/>
            <w:r>
              <w:rPr>
                <w:rFonts w:ascii="Times New Roman" w:hAnsi="Times New Roman"/>
                <w:b w:val="0"/>
                <w:sz w:val="20"/>
              </w:rPr>
              <w:t>Frontend</w:t>
            </w:r>
          </w:p>
        </w:tc>
        <w:tc>
          <w:tcPr>
            <w:tcW w:type="dxa" w:w="4252"/>
            <w:vAlign w:val="center"/>
          </w:tcPr>
          <w:p>
            <w:pPr>
              <w:spacing w:line="240" w:lineRule="auto" w:after="0"/>
            </w:pPr>
            <w:r/>
            <w:r>
              <w:rPr>
                <w:rFonts w:ascii="Times New Roman" w:hAnsi="Times New Roman"/>
                <w:b w:val="0"/>
                <w:sz w:val="20"/>
              </w:rPr>
              <w:t>React 19, Vite, Recharts and responsive CSS</w:t>
            </w:r>
          </w:p>
        </w:tc>
      </w:tr>
      <w:tr>
        <w:tc>
          <w:tcPr>
            <w:tcW w:type="dxa" w:w="4252"/>
            <w:vAlign w:val="center"/>
          </w:tcPr>
          <w:p>
            <w:pPr>
              <w:spacing w:line="240" w:lineRule="auto" w:after="0"/>
            </w:pPr>
            <w:r/>
            <w:r>
              <w:rPr>
                <w:rFonts w:ascii="Times New Roman" w:hAnsi="Times New Roman"/>
                <w:b w:val="0"/>
                <w:sz w:val="20"/>
              </w:rPr>
              <w:t>Backend</w:t>
            </w:r>
          </w:p>
        </w:tc>
        <w:tc>
          <w:tcPr>
            <w:tcW w:type="dxa" w:w="4252"/>
            <w:vAlign w:val="center"/>
          </w:tcPr>
          <w:p>
            <w:pPr>
              <w:spacing w:line="240" w:lineRule="auto" w:after="0"/>
            </w:pPr>
            <w:r/>
            <w:r>
              <w:rPr>
                <w:rFonts w:ascii="Times New Roman" w:hAnsi="Times New Roman"/>
                <w:b w:val="0"/>
                <w:sz w:val="20"/>
              </w:rPr>
              <w:t>Node.js, Express 5, Mongoose, JWT and bcrypt</w:t>
            </w:r>
          </w:p>
        </w:tc>
      </w:tr>
      <w:tr>
        <w:tc>
          <w:tcPr>
            <w:tcW w:type="dxa" w:w="4252"/>
            <w:vAlign w:val="center"/>
          </w:tcPr>
          <w:p>
            <w:pPr>
              <w:spacing w:line="240" w:lineRule="auto" w:after="0"/>
            </w:pPr>
            <w:r/>
            <w:r>
              <w:rPr>
                <w:rFonts w:ascii="Times New Roman" w:hAnsi="Times New Roman"/>
                <w:b w:val="0"/>
                <w:sz w:val="20"/>
              </w:rPr>
              <w:t>Database</w:t>
            </w:r>
          </w:p>
        </w:tc>
        <w:tc>
          <w:tcPr>
            <w:tcW w:type="dxa" w:w="4252"/>
            <w:vAlign w:val="center"/>
          </w:tcPr>
          <w:p>
            <w:pPr>
              <w:spacing w:line="240" w:lineRule="auto" w:after="0"/>
            </w:pPr>
            <w:r/>
            <w:r>
              <w:rPr>
                <w:rFonts w:ascii="Times New Roman" w:hAnsi="Times New Roman"/>
                <w:b w:val="0"/>
                <w:sz w:val="20"/>
              </w:rPr>
              <w:t>MongoDB</w:t>
            </w:r>
          </w:p>
        </w:tc>
      </w:tr>
      <w:tr>
        <w:tc>
          <w:tcPr>
            <w:tcW w:type="dxa" w:w="4252"/>
            <w:vAlign w:val="center"/>
          </w:tcPr>
          <w:p>
            <w:pPr>
              <w:spacing w:line="240" w:lineRule="auto" w:after="0"/>
            </w:pPr>
            <w:r/>
            <w:r>
              <w:rPr>
                <w:rFonts w:ascii="Times New Roman" w:hAnsi="Times New Roman"/>
                <w:b w:val="0"/>
                <w:sz w:val="20"/>
              </w:rPr>
              <w:t>Content and messaging</w:t>
            </w:r>
          </w:p>
        </w:tc>
        <w:tc>
          <w:tcPr>
            <w:tcW w:type="dxa" w:w="4252"/>
            <w:vAlign w:val="center"/>
          </w:tcPr>
          <w:p>
            <w:pPr>
              <w:spacing w:line="240" w:lineRule="auto" w:after="0"/>
            </w:pPr>
            <w:r/>
            <w:r>
              <w:rPr>
                <w:rFonts w:ascii="Times New Roman" w:hAnsi="Times New Roman"/>
                <w:b w:val="0"/>
                <w:sz w:val="20"/>
              </w:rPr>
              <w:t>Puppeteer, Cheerio, Axios, Nodemailer and optional Twilio</w:t>
            </w:r>
          </w:p>
        </w:tc>
      </w:tr>
      <w:tr>
        <w:tc>
          <w:tcPr>
            <w:tcW w:type="dxa" w:w="4252"/>
            <w:vAlign w:val="center"/>
          </w:tcPr>
          <w:p>
            <w:pPr>
              <w:spacing w:line="240" w:lineRule="auto" w:after="0"/>
            </w:pPr>
            <w:r/>
            <w:r>
              <w:rPr>
                <w:rFonts w:ascii="Times New Roman" w:hAnsi="Times New Roman"/>
                <w:b w:val="0"/>
                <w:sz w:val="20"/>
              </w:rPr>
              <w:t>Documentation and experimentation</w:t>
            </w:r>
          </w:p>
        </w:tc>
        <w:tc>
          <w:tcPr>
            <w:tcW w:type="dxa" w:w="4252"/>
            <w:vAlign w:val="center"/>
          </w:tcPr>
          <w:p>
            <w:pPr>
              <w:spacing w:line="240" w:lineRule="auto" w:after="0"/>
            </w:pPr>
            <w:r/>
            <w:r>
              <w:rPr>
                <w:rFonts w:ascii="Times New Roman" w:hAnsi="Times New Roman"/>
                <w:b w:val="0"/>
                <w:sz w:val="20"/>
              </w:rPr>
              <w:t>Jupyter/Colab, CSV metrics and generated figures</w:t>
            </w:r>
          </w:p>
        </w:tc>
      </w:tr>
    </w:tbl>
    <w:p>
      <w:pPr>
        <w:spacing w:after="0"/>
      </w:pPr>
    </w:p>
    <w:p>
      <w:pPr>
        <w:pStyle w:val="Heading1"/>
      </w:pPr>
      <w:r>
        <w:t>3.7 System Requirements</w:t>
      </w:r>
    </w:p>
    <w:p>
      <w:pPr>
        <w:pStyle w:val="Heading2"/>
      </w:pPr>
      <w:r>
        <w:t>3.7.1 Hardware Requirements</w:t>
      </w:r>
    </w:p>
    <w:p>
      <w:r>
        <w:t>A development computer requires a modern multi-core processor, at least 8 GB of RAM, and sufficient storage for source data, model artefacts, dependencies, screenshots, and database records. Sixteen gigabytes of RAM is preferable for concurrent frontend, backend, database, and inference services. Transformer fine-tuning benefits substantially from a CUDA-capable GPU; however, inference can run on a CPU at reduced throughput. Production capacity should be selected after measuring request volume, model latency, monitoring frequency, and retention requirements.</w:t>
      </w:r>
    </w:p>
    <w:p>
      <w:pPr>
        <w:pStyle w:val="Heading2"/>
      </w:pPr>
      <w:r>
        <w:t>3.7.2 Software Requirements</w:t>
      </w:r>
    </w:p>
    <w:p>
      <w:pPr>
        <w:pStyle w:val="ListBullet"/>
        <w:spacing w:line="480" w:lineRule="auto"/>
        <w:ind w:left="720" w:hanging="357"/>
      </w:pPr>
      <w:r>
        <w:t>A supported Windows or Linux operating system.</w:t>
      </w:r>
    </w:p>
    <w:p>
      <w:pPr>
        <w:pStyle w:val="ListBullet"/>
        <w:spacing w:line="480" w:lineRule="auto"/>
        <w:ind w:left="720" w:hanging="357"/>
      </w:pPr>
      <w:r>
        <w:t>Python 3.10 or later with the project inference and modelling dependencies.</w:t>
      </w:r>
    </w:p>
    <w:p>
      <w:pPr>
        <w:pStyle w:val="ListBullet"/>
        <w:spacing w:line="480" w:lineRule="auto"/>
        <w:ind w:left="720" w:hanging="357"/>
      </w:pPr>
      <w:r>
        <w:t>Node.js 18 or later with frontend and backend packages installed.</w:t>
      </w:r>
    </w:p>
    <w:p>
      <w:pPr>
        <w:pStyle w:val="ListBullet"/>
        <w:spacing w:line="480" w:lineRule="auto"/>
        <w:ind w:left="720" w:hanging="357"/>
      </w:pPr>
      <w:r>
        <w:t>MongoDB locally or through a secured managed deployment.</w:t>
      </w:r>
    </w:p>
    <w:p>
      <w:pPr>
        <w:pStyle w:val="ListBullet"/>
        <w:spacing w:line="480" w:lineRule="auto"/>
        <w:ind w:left="720" w:hanging="357"/>
      </w:pPr>
      <w:r>
        <w:t>A modern browser for the React application.</w:t>
      </w:r>
    </w:p>
    <w:p>
      <w:pPr>
        <w:pStyle w:val="ListBullet"/>
        <w:spacing w:line="480" w:lineRule="auto"/>
        <w:ind w:left="720" w:hanging="357"/>
      </w:pPr>
      <w:r>
        <w:t>Environment variables for database connectivity, JWT signing, frontend origin, AI service address, and optional email/SMS integrations.</w:t>
      </w:r>
    </w:p>
    <w:p>
      <w:pPr>
        <w:pStyle w:val="Heading2"/>
      </w:pPr>
      <w:r>
        <w:t>3.7.3 Required Libraries and Frameworks</w:t>
      </w:r>
    </w:p>
    <w:p>
      <w:r>
        <w:t>The principal Python dependencies include Flask, pandas, NumPy, scikit-learn, joblib, PyTorch, and transformer/tokenizer libraries required by the saved SomBERTa artefact. The server application uses Express, Mongoose, JSON Web Token support, bcrypt, Multer, Axios, Cheerio, Puppeteer, Nodemailer, and optional Twilio integration. The browser application uses React, React Router, Axios, Recharts, and supporting interface libraries. Exact dependency versions are maintained in the project requirements and package-lock files to improve reproducibility.</w:t>
      </w:r>
    </w:p>
    <w:p>
      <w:pPr>
        <w:pStyle w:val="Heading1"/>
      </w:pPr>
      <w:r>
        <w:t>3.8 Ethical, Privacy and Security Considerations</w:t>
      </w:r>
    </w:p>
    <w:p>
      <w:r>
        <w:t>Crime-related text can contain sensitive allegations, names, contact details, locations, and investigative information. The methodology therefore applies role-based access, password hashing, verified sessions, audit records, restricted exports, and separation of duties. Credentials, tokens, and private configuration values must not appear in the thesis, screenshots, logs, or public source repositories. Real institutional deployment additionally requires approved retention periods, access reviews, incident response, secure backups, encrypted transport, and compliance with applicable law and organizational policy.</w:t>
      </w:r>
    </w:p>
    <w:p>
      <w:r>
        <w:t>The classifier is a decision-support component and not a legal authority. False positives can wrongly associate ordinary reporting with criminal activity, while false negatives can delay attention to a genuine threat. Human review is therefore mandatory before enforcement or adverse action. Dataset expansion should use lawful and ethically approved collection, documented annotation instructions, and safeguards for personal information.</w:t>
      </w:r>
    </w:p>
    <w:p>
      <w:pPr>
        <w:pStyle w:val="Heading1"/>
      </w:pPr>
      <w:r>
        <w:t>3.9 Chapter Summary</w:t>
      </w:r>
    </w:p>
    <w:p>
      <w:r>
        <w:t>This chapter presented the updated methodology for BAREAI. It described the role-based system, modular architecture, dataset profile, duplicate-aware preparation, distinct TF-IDF and transformer preprocessing paths, stratified evaluation design, candidate model families, selection measures, SomBERTa-B packaging, hybrid enrichment, implementation phases, development environment, requirements, and ethical safeguards. The update establishes SomBERTa-B as the final deployed model while retaining Random Forest and Linear SVM as important classical benchmarks. Chapter Four presents the implementation evidence, user interfaces, testing results, and detailed model comparison produced by this methodology.</w:t>
      </w:r>
    </w:p>
    <w:sectPr w:rsidR="00FC693F" w:rsidRPr="0006063C" w:rsidSect="00034616">
      <w:headerReference w:type="default" r:id="rId9"/>
      <w:footerReference w:type="default" r:id="rId10"/>
      <w:pgSz w:w="11906" w:h="16838"/>
      <w:pgMar w:top="1134" w:right="1134" w:bottom="1134"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BAREAI - Updated Chapter III Methodology</dc:title>
  <dc:subject>Automatic Classification of Crime-Related Text Reports Using NLP</dc:subject>
  <dc:creator>Yaasiin Mohamuud Abdullaahi; Naima Abdiaziz Said; Nasteha Mohamuud Mohamed; Najma Muhudiin Mohamed</dc:creator>
  <cp:keywords/>
  <dc:description>generated by python-docx</dc:description>
  <cp:lastModifiedBy/>
  <cp:revision>1</cp:revision>
  <dcterms:created xsi:type="dcterms:W3CDTF">2013-12-23T23:15:00Z</dcterms:created>
  <dcterms:modified xsi:type="dcterms:W3CDTF">2013-12-23T23:15:00Z</dcterms:modified>
  <cp:category/>
</cp:coreProperties>
</file>