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after="360"/>
        <w:ind w:firstLine="0"/>
        <w:jc w:val="center"/>
      </w:pPr>
      <w:r>
        <w:rPr>
          <w:rFonts w:ascii="Times New Roman" w:hAnsi="Times New Roman"/>
          <w:b/>
          <w:sz w:val="32"/>
        </w:rPr>
        <w:t>CHAPTER IV: SYSTEM IMPLEMENTATION, RESULTS AND DISCUSSION</w:t>
      </w:r>
    </w:p>
    <w:p>
      <w:pPr>
        <w:pStyle w:val="Heading1"/>
      </w:pPr>
      <w:r>
        <w:t>4.1 Introduction</w:t>
      </w:r>
    </w:p>
    <w:p>
      <w:r>
        <w:t>This chapter presents the implementation, testing, empirical results, and interpretation of BAREAI, an intelligent platform developed to classify Somali crime-related text reports using Natural Language Processing (NLP). The chapter converts the methodology described in Chapter Three into a verifiable software and machine-learning outcome. It therefore reports not only the predictive performance of the final classifier, but also the manner in which the classifier was embedded within a secure web application that supports analysis, monitoring, escalation, investigation, reporting, and dataset governance.</w:t>
      </w:r>
    </w:p>
    <w:p>
      <w:r>
        <w:t>In accordance with the University guideline for Artificial Intelligence final-year projects, the chapter begins with the dataset and implementation environment, proceeds through the deployed architecture and functional modules, presents interfaces and database outputs, documents the testing strategy, and then compares the candidate models using accuracy, precision, recall, F1-score, crime-class recall, confusion-matrix behaviour, and ROC evidence. The discussion explicitly relates the observed results to the research objectives and questions established in Chapter One. Screenshots were captured from the running application on 5 August 2026; confidential passwords and authentication tokens are intentionally excluded from the thesis.</w:t>
      </w:r>
    </w:p>
    <w:p>
      <w:pPr>
        <w:pStyle w:val="Heading1"/>
      </w:pPr>
      <w:r>
        <w:t>4.2 System Overview</w:t>
      </w:r>
    </w:p>
    <w:p>
      <w:r>
        <w:t>BAREAI is a role-based crime intelligence platform that receives unstructured Somali text from direct entry, web addresses, uploaded documents, batch files, monitored Facebook pages, and monitored websites. The text is validated, cleaned, classified, and enriched with crime keywords and Somali location information. Crime-positive reports can be forwarded to an investigation workflow, where authorized officers review evidence, update case status, record notes, and produce reports. The system additionally preserves audit events and analysis history so that a prediction can be traced to the user, source, time, model decision, and subsequent operational action.</w:t>
      </w:r>
    </w:p>
    <w:p>
      <w:r>
        <w:t>The implemented solution is broader than a stand-alone classifier. Its public layer offers restricted Somali-language analysis, while authenticated workspaces expose different capabilities to administrators, investigators, and the Dataset Manager. Administrators supervise platform activity, users, blacklists, cases, reports, and audit logs. Investigators receive and process cases. The Dataset Manager reviews and exports collected records without being granted broader administrative authority. This separation supports least-privilege access and provides an organizational path from raw online information to accountable investigative action.</w:t>
      </w:r>
    </w:p>
    <w:p>
      <w:pPr>
        <w:spacing w:line="240" w:lineRule="auto" w:after="80"/>
      </w:pPr>
      <w:r>
        <w:rPr>
          <w:rFonts w:ascii="Times New Roman" w:hAnsi="Times New Roman"/>
          <w:b/>
          <w:sz w:val="22"/>
        </w:rPr>
        <w:t>Table 4.1: Implemented system scope</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1701"/>
            <w:vAlign w:val="center"/>
            <w:shd w:fill="D9EAF7"/>
          </w:tcPr>
          <w:p>
            <w:pPr>
              <w:spacing w:line="240" w:lineRule="auto" w:after="0"/>
            </w:pPr>
            <w:r/>
            <w:r>
              <w:rPr>
                <w:rFonts w:ascii="Times New Roman" w:hAnsi="Times New Roman"/>
                <w:b/>
                <w:sz w:val="20"/>
              </w:rPr>
              <w:t>Layer</w:t>
            </w:r>
          </w:p>
        </w:tc>
        <w:tc>
          <w:tcPr>
            <w:tcW w:type="dxa" w:w="3969"/>
            <w:vAlign w:val="center"/>
            <w:shd w:fill="D9EAF7"/>
          </w:tcPr>
          <w:p>
            <w:pPr>
              <w:spacing w:line="240" w:lineRule="auto" w:after="0"/>
            </w:pPr>
            <w:r/>
            <w:r>
              <w:rPr>
                <w:rFonts w:ascii="Times New Roman" w:hAnsi="Times New Roman"/>
                <w:b/>
                <w:sz w:val="20"/>
              </w:rPr>
              <w:t>Implemented responsibility</w:t>
            </w:r>
          </w:p>
        </w:tc>
        <w:tc>
          <w:tcPr>
            <w:tcW w:type="dxa" w:w="2551"/>
            <w:vAlign w:val="center"/>
            <w:shd w:fill="D9EAF7"/>
          </w:tcPr>
          <w:p>
            <w:pPr>
              <w:spacing w:line="240" w:lineRule="auto" w:after="0"/>
            </w:pPr>
            <w:r/>
            <w:r>
              <w:rPr>
                <w:rFonts w:ascii="Times New Roman" w:hAnsi="Times New Roman"/>
                <w:b/>
                <w:sz w:val="20"/>
              </w:rPr>
              <w:t>Principal technologies</w:t>
            </w:r>
          </w:p>
        </w:tc>
      </w:tr>
      <w:tr>
        <w:tc>
          <w:tcPr>
            <w:tcW w:type="dxa" w:w="1701"/>
            <w:vAlign w:val="center"/>
          </w:tcPr>
          <w:p>
            <w:pPr>
              <w:spacing w:line="240" w:lineRule="auto" w:after="0"/>
            </w:pPr>
            <w:r/>
            <w:r>
              <w:rPr>
                <w:rFonts w:ascii="Times New Roman" w:hAnsi="Times New Roman"/>
                <w:b w:val="0"/>
                <w:sz w:val="20"/>
              </w:rPr>
              <w:t>Presentation</w:t>
            </w:r>
          </w:p>
        </w:tc>
        <w:tc>
          <w:tcPr>
            <w:tcW w:type="dxa" w:w="3969"/>
            <w:vAlign w:val="center"/>
          </w:tcPr>
          <w:p>
            <w:pPr>
              <w:spacing w:line="240" w:lineRule="auto" w:after="0"/>
            </w:pPr>
            <w:r/>
            <w:r>
              <w:rPr>
                <w:rFonts w:ascii="Times New Roman" w:hAnsi="Times New Roman"/>
                <w:b w:val="0"/>
                <w:sz w:val="20"/>
              </w:rPr>
              <w:t>Public analysis and protected role workspaces</w:t>
            </w:r>
          </w:p>
        </w:tc>
        <w:tc>
          <w:tcPr>
            <w:tcW w:type="dxa" w:w="2551"/>
            <w:vAlign w:val="center"/>
          </w:tcPr>
          <w:p>
            <w:pPr>
              <w:spacing w:line="240" w:lineRule="auto" w:after="0"/>
            </w:pPr>
            <w:r/>
            <w:r>
              <w:rPr>
                <w:rFonts w:ascii="Times New Roman" w:hAnsi="Times New Roman"/>
                <w:b w:val="0"/>
                <w:sz w:val="20"/>
              </w:rPr>
              <w:t>React 19, Vite, responsive CSS, Recharts</w:t>
            </w:r>
          </w:p>
        </w:tc>
      </w:tr>
      <w:tr>
        <w:tc>
          <w:tcPr>
            <w:tcW w:type="dxa" w:w="1701"/>
            <w:vAlign w:val="center"/>
          </w:tcPr>
          <w:p>
            <w:pPr>
              <w:spacing w:line="240" w:lineRule="auto" w:after="0"/>
            </w:pPr>
            <w:r/>
            <w:r>
              <w:rPr>
                <w:rFonts w:ascii="Times New Roman" w:hAnsi="Times New Roman"/>
                <w:b w:val="0"/>
                <w:sz w:val="20"/>
              </w:rPr>
              <w:t>Application</w:t>
            </w:r>
          </w:p>
        </w:tc>
        <w:tc>
          <w:tcPr>
            <w:tcW w:type="dxa" w:w="3969"/>
            <w:vAlign w:val="center"/>
          </w:tcPr>
          <w:p>
            <w:pPr>
              <w:spacing w:line="240" w:lineRule="auto" w:after="0"/>
            </w:pPr>
            <w:r/>
            <w:r>
              <w:rPr>
                <w:rFonts w:ascii="Times New Roman" w:hAnsi="Times New Roman"/>
                <w:b w:val="0"/>
                <w:sz w:val="20"/>
              </w:rPr>
              <w:t>Authentication, analysis orchestration, cases, alerts, reports, audit and monitoring</w:t>
            </w:r>
          </w:p>
        </w:tc>
        <w:tc>
          <w:tcPr>
            <w:tcW w:type="dxa" w:w="2551"/>
            <w:vAlign w:val="center"/>
          </w:tcPr>
          <w:p>
            <w:pPr>
              <w:spacing w:line="240" w:lineRule="auto" w:after="0"/>
            </w:pPr>
            <w:r/>
            <w:r>
              <w:rPr>
                <w:rFonts w:ascii="Times New Roman" w:hAnsi="Times New Roman"/>
                <w:b w:val="0"/>
                <w:sz w:val="20"/>
              </w:rPr>
              <w:t>Node.js, Express 5, JWT, Mongoose</w:t>
            </w:r>
          </w:p>
        </w:tc>
      </w:tr>
      <w:tr>
        <w:tc>
          <w:tcPr>
            <w:tcW w:type="dxa" w:w="1701"/>
            <w:vAlign w:val="center"/>
          </w:tcPr>
          <w:p>
            <w:pPr>
              <w:spacing w:line="240" w:lineRule="auto" w:after="0"/>
            </w:pPr>
            <w:r/>
            <w:r>
              <w:rPr>
                <w:rFonts w:ascii="Times New Roman" w:hAnsi="Times New Roman"/>
                <w:b w:val="0"/>
                <w:sz w:val="20"/>
              </w:rPr>
              <w:t>AI inference</w:t>
            </w:r>
          </w:p>
        </w:tc>
        <w:tc>
          <w:tcPr>
            <w:tcW w:type="dxa" w:w="3969"/>
            <w:vAlign w:val="center"/>
          </w:tcPr>
          <w:p>
            <w:pPr>
              <w:spacing w:line="240" w:lineRule="auto" w:after="0"/>
            </w:pPr>
            <w:r/>
            <w:r>
              <w:rPr>
                <w:rFonts w:ascii="Times New Roman" w:hAnsi="Times New Roman"/>
                <w:b w:val="0"/>
                <w:sz w:val="20"/>
              </w:rPr>
              <w:t>Somali text validation, preprocessing, model loading and prediction</w:t>
            </w:r>
          </w:p>
        </w:tc>
        <w:tc>
          <w:tcPr>
            <w:tcW w:type="dxa" w:w="2551"/>
            <w:vAlign w:val="center"/>
          </w:tcPr>
          <w:p>
            <w:pPr>
              <w:spacing w:line="240" w:lineRule="auto" w:after="0"/>
            </w:pPr>
            <w:r/>
            <w:r>
              <w:rPr>
                <w:rFonts w:ascii="Times New Roman" w:hAnsi="Times New Roman"/>
                <w:b w:val="0"/>
                <w:sz w:val="20"/>
              </w:rPr>
              <w:t>Python, Flask, PyTorch/Transformers and scikit-learn</w:t>
            </w:r>
          </w:p>
        </w:tc>
      </w:tr>
      <w:tr>
        <w:tc>
          <w:tcPr>
            <w:tcW w:type="dxa" w:w="1701"/>
            <w:vAlign w:val="center"/>
          </w:tcPr>
          <w:p>
            <w:pPr>
              <w:spacing w:line="240" w:lineRule="auto" w:after="0"/>
            </w:pPr>
            <w:r/>
            <w:r>
              <w:rPr>
                <w:rFonts w:ascii="Times New Roman" w:hAnsi="Times New Roman"/>
                <w:b w:val="0"/>
                <w:sz w:val="20"/>
              </w:rPr>
              <w:t>Persistence</w:t>
            </w:r>
          </w:p>
        </w:tc>
        <w:tc>
          <w:tcPr>
            <w:tcW w:type="dxa" w:w="3969"/>
            <w:vAlign w:val="center"/>
          </w:tcPr>
          <w:p>
            <w:pPr>
              <w:spacing w:line="240" w:lineRule="auto" w:after="0"/>
            </w:pPr>
            <w:r/>
            <w:r>
              <w:rPr>
                <w:rFonts w:ascii="Times New Roman" w:hAnsi="Times New Roman"/>
                <w:b w:val="0"/>
                <w:sz w:val="20"/>
              </w:rPr>
              <w:t>Users, histories, cases, reports, alerts, blacklist and activity records</w:t>
            </w:r>
          </w:p>
        </w:tc>
        <w:tc>
          <w:tcPr>
            <w:tcW w:type="dxa" w:w="2551"/>
            <w:vAlign w:val="center"/>
          </w:tcPr>
          <w:p>
            <w:pPr>
              <w:spacing w:line="240" w:lineRule="auto" w:after="0"/>
            </w:pPr>
            <w:r/>
            <w:r>
              <w:rPr>
                <w:rFonts w:ascii="Times New Roman" w:hAnsi="Times New Roman"/>
                <w:b w:val="0"/>
                <w:sz w:val="20"/>
              </w:rPr>
              <w:t>MongoDB</w:t>
            </w:r>
          </w:p>
        </w:tc>
      </w:tr>
      <w:tr>
        <w:tc>
          <w:tcPr>
            <w:tcW w:type="dxa" w:w="1701"/>
            <w:vAlign w:val="center"/>
          </w:tcPr>
          <w:p>
            <w:pPr>
              <w:spacing w:line="240" w:lineRule="auto" w:after="0"/>
            </w:pPr>
            <w:r/>
            <w:r>
              <w:rPr>
                <w:rFonts w:ascii="Times New Roman" w:hAnsi="Times New Roman"/>
                <w:b w:val="0"/>
                <w:sz w:val="20"/>
              </w:rPr>
              <w:t>External services</w:t>
            </w:r>
          </w:p>
        </w:tc>
        <w:tc>
          <w:tcPr>
            <w:tcW w:type="dxa" w:w="3969"/>
            <w:vAlign w:val="center"/>
          </w:tcPr>
          <w:p>
            <w:pPr>
              <w:spacing w:line="240" w:lineRule="auto" w:after="0"/>
            </w:pPr>
            <w:r/>
            <w:r>
              <w:rPr>
                <w:rFonts w:ascii="Times New Roman" w:hAnsi="Times New Roman"/>
                <w:b w:val="0"/>
                <w:sz w:val="20"/>
              </w:rPr>
              <w:t>Web extraction, Facebook monitoring, email and optional SMS</w:t>
            </w:r>
          </w:p>
        </w:tc>
        <w:tc>
          <w:tcPr>
            <w:tcW w:type="dxa" w:w="2551"/>
            <w:vAlign w:val="center"/>
          </w:tcPr>
          <w:p>
            <w:pPr>
              <w:spacing w:line="240" w:lineRule="auto" w:after="0"/>
            </w:pPr>
            <w:r/>
            <w:r>
              <w:rPr>
                <w:rFonts w:ascii="Times New Roman" w:hAnsi="Times New Roman"/>
                <w:b w:val="0"/>
                <w:sz w:val="20"/>
              </w:rPr>
              <w:t>Puppeteer, Cheerio, Nodemailer and Twilio</w:t>
            </w:r>
          </w:p>
        </w:tc>
      </w:tr>
    </w:tbl>
    <w:p>
      <w:pPr>
        <w:spacing w:after="0"/>
      </w:pPr>
    </w:p>
    <w:p>
      <w:pPr>
        <w:pStyle w:val="Heading1"/>
      </w:pPr>
      <w:r>
        <w:t>4.3 Dataset Description and Preparation Results</w:t>
      </w:r>
    </w:p>
    <w:p>
      <w:r>
        <w:t>The source dataset contained 9,999 labelled records and four columns: url, text, category, and an almost entirely empty auxiliary column. All 9,999 records contained text and a valid class label. The class distribution was nearly balanced, comprising 5,000 crime-related and 4,999 not-crime-related observations. The raw text field contained 8,615 unique values; consequently, 1,384 repeated text records were detected. Duplicate removal was applied before the final split to reduce information leakage, because copies of the same report in both training and test sets could produce an unrealistically optimistic score.</w:t>
      </w:r>
    </w:p>
    <w:p>
      <w:pPr>
        <w:spacing w:line="240" w:lineRule="auto" w:after="80"/>
      </w:pPr>
      <w:r>
        <w:rPr>
          <w:rFonts w:ascii="Times New Roman" w:hAnsi="Times New Roman"/>
          <w:b/>
          <w:sz w:val="22"/>
        </w:rPr>
        <w:t>Table 4.2: Dataset quality profile before modelling</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2268"/>
            <w:vAlign w:val="center"/>
            <w:shd w:fill="D9EAF7"/>
          </w:tcPr>
          <w:p>
            <w:pPr>
              <w:spacing w:line="240" w:lineRule="auto" w:after="0"/>
            </w:pPr>
            <w:r/>
            <w:r>
              <w:rPr>
                <w:rFonts w:ascii="Times New Roman" w:hAnsi="Times New Roman"/>
                <w:b/>
                <w:sz w:val="20"/>
              </w:rPr>
              <w:t>Property</w:t>
            </w:r>
          </w:p>
        </w:tc>
        <w:tc>
          <w:tcPr>
            <w:tcW w:type="dxa" w:w="1984"/>
            <w:vAlign w:val="center"/>
            <w:shd w:fill="D9EAF7"/>
          </w:tcPr>
          <w:p>
            <w:pPr>
              <w:spacing w:line="240" w:lineRule="auto" w:after="0"/>
            </w:pPr>
            <w:r/>
            <w:r>
              <w:rPr>
                <w:rFonts w:ascii="Times New Roman" w:hAnsi="Times New Roman"/>
                <w:b/>
                <w:sz w:val="20"/>
              </w:rPr>
              <w:t>Observed result</w:t>
            </w:r>
          </w:p>
        </w:tc>
        <w:tc>
          <w:tcPr>
            <w:tcW w:type="dxa" w:w="3969"/>
            <w:vAlign w:val="center"/>
            <w:shd w:fill="D9EAF7"/>
          </w:tcPr>
          <w:p>
            <w:pPr>
              <w:spacing w:line="240" w:lineRule="auto" w:after="0"/>
            </w:pPr>
            <w:r/>
            <w:r>
              <w:rPr>
                <w:rFonts w:ascii="Times New Roman" w:hAnsi="Times New Roman"/>
                <w:b/>
                <w:sz w:val="20"/>
              </w:rPr>
              <w:t>Interpretation</w:t>
            </w:r>
          </w:p>
        </w:tc>
      </w:tr>
      <w:tr>
        <w:tc>
          <w:tcPr>
            <w:tcW w:type="dxa" w:w="2268"/>
            <w:vAlign w:val="center"/>
          </w:tcPr>
          <w:p>
            <w:pPr>
              <w:spacing w:line="240" w:lineRule="auto" w:after="0"/>
            </w:pPr>
            <w:r/>
            <w:r>
              <w:rPr>
                <w:rFonts w:ascii="Times New Roman" w:hAnsi="Times New Roman"/>
                <w:b w:val="0"/>
                <w:sz w:val="20"/>
              </w:rPr>
              <w:t>Total records</w:t>
            </w:r>
          </w:p>
        </w:tc>
        <w:tc>
          <w:tcPr>
            <w:tcW w:type="dxa" w:w="1984"/>
            <w:vAlign w:val="center"/>
          </w:tcPr>
          <w:p>
            <w:pPr>
              <w:spacing w:line="240" w:lineRule="auto" w:after="0"/>
            </w:pPr>
            <w:r/>
            <w:r>
              <w:rPr>
                <w:rFonts w:ascii="Times New Roman" w:hAnsi="Times New Roman"/>
                <w:b w:val="0"/>
                <w:sz w:val="20"/>
              </w:rPr>
              <w:t>9,999</w:t>
            </w:r>
          </w:p>
        </w:tc>
        <w:tc>
          <w:tcPr>
            <w:tcW w:type="dxa" w:w="3969"/>
            <w:vAlign w:val="center"/>
          </w:tcPr>
          <w:p>
            <w:pPr>
              <w:spacing w:line="240" w:lineRule="auto" w:after="0"/>
            </w:pPr>
            <w:r/>
            <w:r>
              <w:rPr>
                <w:rFonts w:ascii="Times New Roman" w:hAnsi="Times New Roman"/>
                <w:b w:val="0"/>
                <w:sz w:val="20"/>
              </w:rPr>
              <w:t>Sufficient for comparative supervised experiments</w:t>
            </w:r>
          </w:p>
        </w:tc>
      </w:tr>
      <w:tr>
        <w:tc>
          <w:tcPr>
            <w:tcW w:type="dxa" w:w="2268"/>
            <w:vAlign w:val="center"/>
          </w:tcPr>
          <w:p>
            <w:pPr>
              <w:spacing w:line="240" w:lineRule="auto" w:after="0"/>
            </w:pPr>
            <w:r/>
            <w:r>
              <w:rPr>
                <w:rFonts w:ascii="Times New Roman" w:hAnsi="Times New Roman"/>
                <w:b w:val="0"/>
                <w:sz w:val="20"/>
              </w:rPr>
              <w:t>Crime-related</w:t>
            </w:r>
          </w:p>
        </w:tc>
        <w:tc>
          <w:tcPr>
            <w:tcW w:type="dxa" w:w="1984"/>
            <w:vAlign w:val="center"/>
          </w:tcPr>
          <w:p>
            <w:pPr>
              <w:spacing w:line="240" w:lineRule="auto" w:after="0"/>
            </w:pPr>
            <w:r/>
            <w:r>
              <w:rPr>
                <w:rFonts w:ascii="Times New Roman" w:hAnsi="Times New Roman"/>
                <w:b w:val="0"/>
                <w:sz w:val="20"/>
              </w:rPr>
              <w:t>5,000 (50.01%)</w:t>
            </w:r>
          </w:p>
        </w:tc>
        <w:tc>
          <w:tcPr>
            <w:tcW w:type="dxa" w:w="3969"/>
            <w:vAlign w:val="center"/>
          </w:tcPr>
          <w:p>
            <w:pPr>
              <w:spacing w:line="240" w:lineRule="auto" w:after="0"/>
            </w:pPr>
            <w:r/>
            <w:r>
              <w:rPr>
                <w:rFonts w:ascii="Times New Roman" w:hAnsi="Times New Roman"/>
                <w:b w:val="0"/>
                <w:sz w:val="20"/>
              </w:rPr>
              <w:t>Positive class</w:t>
            </w:r>
          </w:p>
        </w:tc>
      </w:tr>
      <w:tr>
        <w:tc>
          <w:tcPr>
            <w:tcW w:type="dxa" w:w="2268"/>
            <w:vAlign w:val="center"/>
          </w:tcPr>
          <w:p>
            <w:pPr>
              <w:spacing w:line="240" w:lineRule="auto" w:after="0"/>
            </w:pPr>
            <w:r/>
            <w:r>
              <w:rPr>
                <w:rFonts w:ascii="Times New Roman" w:hAnsi="Times New Roman"/>
                <w:b w:val="0"/>
                <w:sz w:val="20"/>
              </w:rPr>
              <w:t>Not crime-related</w:t>
            </w:r>
          </w:p>
        </w:tc>
        <w:tc>
          <w:tcPr>
            <w:tcW w:type="dxa" w:w="1984"/>
            <w:vAlign w:val="center"/>
          </w:tcPr>
          <w:p>
            <w:pPr>
              <w:spacing w:line="240" w:lineRule="auto" w:after="0"/>
            </w:pPr>
            <w:r/>
            <w:r>
              <w:rPr>
                <w:rFonts w:ascii="Times New Roman" w:hAnsi="Times New Roman"/>
                <w:b w:val="0"/>
                <w:sz w:val="20"/>
              </w:rPr>
              <w:t>4,999 (49.99%)</w:t>
            </w:r>
          </w:p>
        </w:tc>
        <w:tc>
          <w:tcPr>
            <w:tcW w:type="dxa" w:w="3969"/>
            <w:vAlign w:val="center"/>
          </w:tcPr>
          <w:p>
            <w:pPr>
              <w:spacing w:line="240" w:lineRule="auto" w:after="0"/>
            </w:pPr>
            <w:r/>
            <w:r>
              <w:rPr>
                <w:rFonts w:ascii="Times New Roman" w:hAnsi="Times New Roman"/>
                <w:b w:val="0"/>
                <w:sz w:val="20"/>
              </w:rPr>
              <w:t>Negative class</w:t>
            </w:r>
          </w:p>
        </w:tc>
      </w:tr>
      <w:tr>
        <w:tc>
          <w:tcPr>
            <w:tcW w:type="dxa" w:w="2268"/>
            <w:vAlign w:val="center"/>
          </w:tcPr>
          <w:p>
            <w:pPr>
              <w:spacing w:line="240" w:lineRule="auto" w:after="0"/>
            </w:pPr>
            <w:r/>
            <w:r>
              <w:rPr>
                <w:rFonts w:ascii="Times New Roman" w:hAnsi="Times New Roman"/>
                <w:b w:val="0"/>
                <w:sz w:val="20"/>
              </w:rPr>
              <w:t>Missing text</w:t>
            </w:r>
          </w:p>
        </w:tc>
        <w:tc>
          <w:tcPr>
            <w:tcW w:type="dxa" w:w="1984"/>
            <w:vAlign w:val="center"/>
          </w:tcPr>
          <w:p>
            <w:pPr>
              <w:spacing w:line="240" w:lineRule="auto" w:after="0"/>
            </w:pPr>
            <w:r/>
            <w:r>
              <w:rPr>
                <w:rFonts w:ascii="Times New Roman" w:hAnsi="Times New Roman"/>
                <w:b w:val="0"/>
                <w:sz w:val="20"/>
              </w:rPr>
              <w:t>0</w:t>
            </w:r>
          </w:p>
        </w:tc>
        <w:tc>
          <w:tcPr>
            <w:tcW w:type="dxa" w:w="3969"/>
            <w:vAlign w:val="center"/>
          </w:tcPr>
          <w:p>
            <w:pPr>
              <w:spacing w:line="240" w:lineRule="auto" w:after="0"/>
            </w:pPr>
            <w:r/>
            <w:r>
              <w:rPr>
                <w:rFonts w:ascii="Times New Roman" w:hAnsi="Times New Roman"/>
                <w:b w:val="0"/>
                <w:sz w:val="20"/>
              </w:rPr>
              <w:t>No record removed for absent input</w:t>
            </w:r>
          </w:p>
        </w:tc>
      </w:tr>
      <w:tr>
        <w:tc>
          <w:tcPr>
            <w:tcW w:type="dxa" w:w="2268"/>
            <w:vAlign w:val="center"/>
          </w:tcPr>
          <w:p>
            <w:pPr>
              <w:spacing w:line="240" w:lineRule="auto" w:after="0"/>
            </w:pPr>
            <w:r/>
            <w:r>
              <w:rPr>
                <w:rFonts w:ascii="Times New Roman" w:hAnsi="Times New Roman"/>
                <w:b w:val="0"/>
                <w:sz w:val="20"/>
              </w:rPr>
              <w:t>Unique text</w:t>
            </w:r>
          </w:p>
        </w:tc>
        <w:tc>
          <w:tcPr>
            <w:tcW w:type="dxa" w:w="1984"/>
            <w:vAlign w:val="center"/>
          </w:tcPr>
          <w:p>
            <w:pPr>
              <w:spacing w:line="240" w:lineRule="auto" w:after="0"/>
            </w:pPr>
            <w:r/>
            <w:r>
              <w:rPr>
                <w:rFonts w:ascii="Times New Roman" w:hAnsi="Times New Roman"/>
                <w:b w:val="0"/>
                <w:sz w:val="20"/>
              </w:rPr>
              <w:t>8,615</w:t>
            </w:r>
          </w:p>
        </w:tc>
        <w:tc>
          <w:tcPr>
            <w:tcW w:type="dxa" w:w="3969"/>
            <w:vAlign w:val="center"/>
          </w:tcPr>
          <w:p>
            <w:pPr>
              <w:spacing w:line="240" w:lineRule="auto" w:after="0"/>
            </w:pPr>
            <w:r/>
            <w:r>
              <w:rPr>
                <w:rFonts w:ascii="Times New Roman" w:hAnsi="Times New Roman"/>
                <w:b w:val="0"/>
                <w:sz w:val="20"/>
              </w:rPr>
              <w:t>Represents distinct textual reports</w:t>
            </w:r>
          </w:p>
        </w:tc>
      </w:tr>
      <w:tr>
        <w:tc>
          <w:tcPr>
            <w:tcW w:type="dxa" w:w="2268"/>
            <w:vAlign w:val="center"/>
          </w:tcPr>
          <w:p>
            <w:pPr>
              <w:spacing w:line="240" w:lineRule="auto" w:after="0"/>
            </w:pPr>
            <w:r/>
            <w:r>
              <w:rPr>
                <w:rFonts w:ascii="Times New Roman" w:hAnsi="Times New Roman"/>
                <w:b w:val="0"/>
                <w:sz w:val="20"/>
              </w:rPr>
              <w:t>Duplicate text</w:t>
            </w:r>
          </w:p>
        </w:tc>
        <w:tc>
          <w:tcPr>
            <w:tcW w:type="dxa" w:w="1984"/>
            <w:vAlign w:val="center"/>
          </w:tcPr>
          <w:p>
            <w:pPr>
              <w:spacing w:line="240" w:lineRule="auto" w:after="0"/>
            </w:pPr>
            <w:r/>
            <w:r>
              <w:rPr>
                <w:rFonts w:ascii="Times New Roman" w:hAnsi="Times New Roman"/>
                <w:b w:val="0"/>
                <w:sz w:val="20"/>
              </w:rPr>
              <w:t>1,384</w:t>
            </w:r>
          </w:p>
        </w:tc>
        <w:tc>
          <w:tcPr>
            <w:tcW w:type="dxa" w:w="3969"/>
            <w:vAlign w:val="center"/>
          </w:tcPr>
          <w:p>
            <w:pPr>
              <w:spacing w:line="240" w:lineRule="auto" w:after="0"/>
            </w:pPr>
            <w:r/>
            <w:r>
              <w:rPr>
                <w:rFonts w:ascii="Times New Roman" w:hAnsi="Times New Roman"/>
                <w:b w:val="0"/>
                <w:sz w:val="20"/>
              </w:rPr>
              <w:t>Removed before leakage-safe modelling</w:t>
            </w:r>
          </w:p>
        </w:tc>
      </w:tr>
      <w:tr>
        <w:tc>
          <w:tcPr>
            <w:tcW w:type="dxa" w:w="2268"/>
            <w:vAlign w:val="center"/>
          </w:tcPr>
          <w:p>
            <w:pPr>
              <w:spacing w:line="240" w:lineRule="auto" w:after="0"/>
            </w:pPr>
            <w:r/>
            <w:r>
              <w:rPr>
                <w:rFonts w:ascii="Times New Roman" w:hAnsi="Times New Roman"/>
                <w:b w:val="0"/>
                <w:sz w:val="20"/>
              </w:rPr>
              <w:t>Target classes</w:t>
            </w:r>
          </w:p>
        </w:tc>
        <w:tc>
          <w:tcPr>
            <w:tcW w:type="dxa" w:w="1984"/>
            <w:vAlign w:val="center"/>
          </w:tcPr>
          <w:p>
            <w:pPr>
              <w:spacing w:line="240" w:lineRule="auto" w:after="0"/>
            </w:pPr>
            <w:r/>
            <w:r>
              <w:rPr>
                <w:rFonts w:ascii="Times New Roman" w:hAnsi="Times New Roman"/>
                <w:b w:val="0"/>
                <w:sz w:val="20"/>
              </w:rPr>
              <w:t>2</w:t>
            </w:r>
          </w:p>
        </w:tc>
        <w:tc>
          <w:tcPr>
            <w:tcW w:type="dxa" w:w="3969"/>
            <w:vAlign w:val="center"/>
          </w:tcPr>
          <w:p>
            <w:pPr>
              <w:spacing w:line="240" w:lineRule="auto" w:after="0"/>
            </w:pPr>
            <w:r/>
            <w:r>
              <w:rPr>
                <w:rFonts w:ascii="Times New Roman" w:hAnsi="Times New Roman"/>
                <w:b w:val="0"/>
                <w:sz w:val="20"/>
              </w:rPr>
              <w:t>Binary classification task</w:t>
            </w:r>
          </w:p>
        </w:tc>
      </w:tr>
    </w:tbl>
    <w:p>
      <w:pPr>
        <w:spacing w:after="0"/>
      </w:pPr>
    </w:p>
    <w:p>
      <w:pPr>
        <w:spacing w:before="120"/>
        <w:ind w:firstLine="0"/>
        <w:jc w:val="center"/>
      </w:pPr>
      <w:r>
        <w:drawing>
          <wp:inline xmlns:a="http://schemas.openxmlformats.org/drawingml/2006/main" xmlns:pic="http://schemas.openxmlformats.org/drawingml/2006/picture">
            <wp:extent cx="5220000" cy="2929319"/>
            <wp:docPr id="1" name="Picture 1"/>
            <wp:cNvGraphicFramePr>
              <a:graphicFrameLocks noChangeAspect="1"/>
            </wp:cNvGraphicFramePr>
            <a:graphic>
              <a:graphicData uri="http://schemas.openxmlformats.org/drawingml/2006/picture">
                <pic:pic>
                  <pic:nvPicPr>
                    <pic:cNvPr id="0" name="00_duplicates.png"/>
                    <pic:cNvPicPr/>
                  </pic:nvPicPr>
                  <pic:blipFill>
                    <a:blip r:embed="rId11"/>
                    <a:stretch>
                      <a:fillRect/>
                    </a:stretch>
                  </pic:blipFill>
                  <pic:spPr>
                    <a:xfrm>
                      <a:off x="0" y="0"/>
                      <a:ext cx="5220000" cy="2929319"/>
                    </a:xfrm>
                    <a:prstGeom prst="rect"/>
                  </pic:spPr>
                </pic:pic>
              </a:graphicData>
            </a:graphic>
          </wp:inline>
        </w:drawing>
      </w:r>
    </w:p>
    <w:p>
      <w:pPr>
        <w:pStyle w:val="FigureCaption"/>
      </w:pPr>
      <w:r>
        <w:t>Figure 4.1: Duplicate-record assessment</w:t>
      </w:r>
    </w:p>
    <w:p>
      <w:r>
        <w:t>The duplicate analysis quantifies repeated reports before model fitting. Removing repeated text ensures that evaluation measures generalization to unseen wording rather than memorization of duplicated observations.</w:t>
      </w:r>
    </w:p>
    <w:p>
      <w:pPr>
        <w:spacing w:before="120"/>
        <w:ind w:firstLine="0"/>
        <w:jc w:val="center"/>
      </w:pPr>
      <w:r>
        <w:drawing>
          <wp:inline xmlns:a="http://schemas.openxmlformats.org/drawingml/2006/main" xmlns:pic="http://schemas.openxmlformats.org/drawingml/2006/picture">
            <wp:extent cx="5220000" cy="1887502"/>
            <wp:docPr id="2" name="Picture 2"/>
            <wp:cNvGraphicFramePr>
              <a:graphicFrameLocks noChangeAspect="1"/>
            </wp:cNvGraphicFramePr>
            <a:graphic>
              <a:graphicData uri="http://schemas.openxmlformats.org/drawingml/2006/picture">
                <pic:pic>
                  <pic:nvPicPr>
                    <pic:cNvPr id="0" name="01_category_balance.png"/>
                    <pic:cNvPicPr/>
                  </pic:nvPicPr>
                  <pic:blipFill>
                    <a:blip r:embed="rId12"/>
                    <a:stretch>
                      <a:fillRect/>
                    </a:stretch>
                  </pic:blipFill>
                  <pic:spPr>
                    <a:xfrm>
                      <a:off x="0" y="0"/>
                      <a:ext cx="5220000" cy="1887502"/>
                    </a:xfrm>
                    <a:prstGeom prst="rect"/>
                  </pic:spPr>
                </pic:pic>
              </a:graphicData>
            </a:graphic>
          </wp:inline>
        </w:drawing>
      </w:r>
    </w:p>
    <w:p>
      <w:pPr>
        <w:pStyle w:val="FigureCaption"/>
      </w:pPr>
      <w:r>
        <w:t>Figure 4.2: Distribution of crime-related and non-crime-related classes</w:t>
      </w:r>
    </w:p>
    <w:p>
      <w:r>
        <w:t>The class-balance figure shows an effectively equal class distribution. Consequently, accuracy is informative, although recall and F1-score remain necessary because failure to identify a crime report carries greater operational cost than an ordinary classification error.</w:t>
      </w:r>
    </w:p>
    <w:p>
      <w:pPr>
        <w:spacing w:before="120"/>
        <w:ind w:firstLine="0"/>
        <w:jc w:val="center"/>
      </w:pPr>
      <w:r>
        <w:drawing>
          <wp:inline xmlns:a="http://schemas.openxmlformats.org/drawingml/2006/main" xmlns:pic="http://schemas.openxmlformats.org/drawingml/2006/picture">
            <wp:extent cx="5220000" cy="1819920"/>
            <wp:docPr id="3" name="Picture 3"/>
            <wp:cNvGraphicFramePr>
              <a:graphicFrameLocks noChangeAspect="1"/>
            </wp:cNvGraphicFramePr>
            <a:graphic>
              <a:graphicData uri="http://schemas.openxmlformats.org/drawingml/2006/picture">
                <pic:pic>
                  <pic:nvPicPr>
                    <pic:cNvPr id="0" name="02_text_length_comparison.png"/>
                    <pic:cNvPicPr/>
                  </pic:nvPicPr>
                  <pic:blipFill>
                    <a:blip r:embed="rId13"/>
                    <a:stretch>
                      <a:fillRect/>
                    </a:stretch>
                  </pic:blipFill>
                  <pic:spPr>
                    <a:xfrm>
                      <a:off x="0" y="0"/>
                      <a:ext cx="5220000" cy="1819920"/>
                    </a:xfrm>
                    <a:prstGeom prst="rect"/>
                  </pic:spPr>
                </pic:pic>
              </a:graphicData>
            </a:graphic>
          </wp:inline>
        </w:drawing>
      </w:r>
    </w:p>
    <w:p>
      <w:pPr>
        <w:pStyle w:val="FigureCaption"/>
      </w:pPr>
      <w:r>
        <w:t>Figure 4.3: Comparison of text-length distributions by class</w:t>
      </w:r>
    </w:p>
    <w:p>
      <w:r>
        <w:t>Text-length distributions provide evidence about input variability and potential outliers. The overlap between classes indicates that document length alone is not a reliable decision feature; the classifier must learn lexical and contextual evidence.</w:t>
      </w:r>
    </w:p>
    <w:p>
      <w:r>
        <w:t>Preprocessing combined general NLP normalization with Somali-specific controls. Empty values and invalid labels were removed, text was normalized to lowercase where appropriate, repeated whitespace and web artefacts were cleaned, and stop words were handled using a Somali list. Classical models received TF-IDF features with word n-grams. Transformer models received tokenized sequences with a maximum length defined by their deployment configuration. A stratified split preserved the class ratio across training, validation, and test partitions. The final model-selection table records 5,906 training observations for the full SomBERTa experiments, while validation and test partitions were kept separate for model selection and final reporting.</w:t>
      </w:r>
    </w:p>
    <w:p>
      <w:pPr>
        <w:pStyle w:val="Heading1"/>
      </w:pPr>
      <w:r>
        <w:t>4.4 System Architecture and Deployment</w:t>
      </w:r>
    </w:p>
    <w:p>
      <w:r>
        <w:t>The deployed architecture uses a modular three-tier pattern with an independent AI inference service. The React single-page application sends REST requests to the Express backend. The backend verifies the JSON Web Token, enforces role permissions, validates the input, and sends prediction requests to the Flask service. The Flask service loads the selected SomBERTa-B artefacts at start-up and returns a binary label and confidence information. The backend adds keyword, location, blacklist, and source metadata before storing the result in MongoDB. This design prevents the browser from communicating directly with the model or database and centralizes authorization and audit controls.</w:t>
      </w:r>
    </w:p>
    <w:p>
      <w:pPr>
        <w:spacing w:line="240" w:lineRule="auto" w:after="80"/>
      </w:pPr>
      <w:r>
        <w:rPr>
          <w:rFonts w:ascii="Times New Roman" w:hAnsi="Times New Roman"/>
          <w:b/>
          <w:sz w:val="22"/>
        </w:rPr>
        <w:t>Table 4.3: Runtime services and development ports</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2268"/>
            <w:vAlign w:val="center"/>
            <w:shd w:fill="D9EAF7"/>
          </w:tcPr>
          <w:p>
            <w:pPr>
              <w:spacing w:line="240" w:lineRule="auto" w:after="0"/>
            </w:pPr>
            <w:r/>
            <w:r>
              <w:rPr>
                <w:rFonts w:ascii="Times New Roman" w:hAnsi="Times New Roman"/>
                <w:b/>
                <w:sz w:val="20"/>
              </w:rPr>
              <w:t>Service</w:t>
            </w:r>
          </w:p>
        </w:tc>
        <w:tc>
          <w:tcPr>
            <w:tcW w:type="dxa" w:w="1134"/>
            <w:vAlign w:val="center"/>
            <w:shd w:fill="D9EAF7"/>
          </w:tcPr>
          <w:p>
            <w:pPr>
              <w:spacing w:line="240" w:lineRule="auto" w:after="0"/>
            </w:pPr>
            <w:r/>
            <w:r>
              <w:rPr>
                <w:rFonts w:ascii="Times New Roman" w:hAnsi="Times New Roman"/>
                <w:b/>
                <w:sz w:val="20"/>
              </w:rPr>
              <w:t>Port</w:t>
            </w:r>
          </w:p>
        </w:tc>
        <w:tc>
          <w:tcPr>
            <w:tcW w:type="dxa" w:w="4819"/>
            <w:vAlign w:val="center"/>
            <w:shd w:fill="D9EAF7"/>
          </w:tcPr>
          <w:p>
            <w:pPr>
              <w:spacing w:line="240" w:lineRule="auto" w:after="0"/>
            </w:pPr>
            <w:r/>
            <w:r>
              <w:rPr>
                <w:rFonts w:ascii="Times New Roman" w:hAnsi="Times New Roman"/>
                <w:b/>
                <w:sz w:val="20"/>
              </w:rPr>
              <w:t>Primary request/response</w:t>
            </w:r>
          </w:p>
        </w:tc>
      </w:tr>
      <w:tr>
        <w:tc>
          <w:tcPr>
            <w:tcW w:type="dxa" w:w="2268"/>
            <w:vAlign w:val="center"/>
          </w:tcPr>
          <w:p>
            <w:pPr>
              <w:spacing w:line="240" w:lineRule="auto" w:after="0"/>
            </w:pPr>
            <w:r/>
            <w:r>
              <w:rPr>
                <w:rFonts w:ascii="Times New Roman" w:hAnsi="Times New Roman"/>
                <w:b w:val="0"/>
                <w:sz w:val="20"/>
              </w:rPr>
              <w:t>React frontend</w:t>
            </w:r>
          </w:p>
        </w:tc>
        <w:tc>
          <w:tcPr>
            <w:tcW w:type="dxa" w:w="1134"/>
            <w:vAlign w:val="center"/>
          </w:tcPr>
          <w:p>
            <w:pPr>
              <w:spacing w:line="240" w:lineRule="auto" w:after="0"/>
            </w:pPr>
            <w:r/>
            <w:r>
              <w:rPr>
                <w:rFonts w:ascii="Times New Roman" w:hAnsi="Times New Roman"/>
                <w:b w:val="0"/>
                <w:sz w:val="20"/>
              </w:rPr>
              <w:t>5173</w:t>
            </w:r>
          </w:p>
        </w:tc>
        <w:tc>
          <w:tcPr>
            <w:tcW w:type="dxa" w:w="4819"/>
            <w:vAlign w:val="center"/>
          </w:tcPr>
          <w:p>
            <w:pPr>
              <w:spacing w:line="240" w:lineRule="auto" w:after="0"/>
            </w:pPr>
            <w:r/>
            <w:r>
              <w:rPr>
                <w:rFonts w:ascii="Times New Roman" w:hAnsi="Times New Roman"/>
                <w:b w:val="0"/>
                <w:sz w:val="20"/>
              </w:rPr>
              <w:t>User interaction and visual presentation</w:t>
            </w:r>
          </w:p>
        </w:tc>
      </w:tr>
      <w:tr>
        <w:tc>
          <w:tcPr>
            <w:tcW w:type="dxa" w:w="2268"/>
            <w:vAlign w:val="center"/>
          </w:tcPr>
          <w:p>
            <w:pPr>
              <w:spacing w:line="240" w:lineRule="auto" w:after="0"/>
            </w:pPr>
            <w:r/>
            <w:r>
              <w:rPr>
                <w:rFonts w:ascii="Times New Roman" w:hAnsi="Times New Roman"/>
                <w:b w:val="0"/>
                <w:sz w:val="20"/>
              </w:rPr>
              <w:t>Express backend</w:t>
            </w:r>
          </w:p>
        </w:tc>
        <w:tc>
          <w:tcPr>
            <w:tcW w:type="dxa" w:w="1134"/>
            <w:vAlign w:val="center"/>
          </w:tcPr>
          <w:p>
            <w:pPr>
              <w:spacing w:line="240" w:lineRule="auto" w:after="0"/>
            </w:pPr>
            <w:r/>
            <w:r>
              <w:rPr>
                <w:rFonts w:ascii="Times New Roman" w:hAnsi="Times New Roman"/>
                <w:b w:val="0"/>
                <w:sz w:val="20"/>
              </w:rPr>
              <w:t>5000</w:t>
            </w:r>
          </w:p>
        </w:tc>
        <w:tc>
          <w:tcPr>
            <w:tcW w:type="dxa" w:w="4819"/>
            <w:vAlign w:val="center"/>
          </w:tcPr>
          <w:p>
            <w:pPr>
              <w:spacing w:line="240" w:lineRule="auto" w:after="0"/>
            </w:pPr>
            <w:r/>
            <w:r>
              <w:rPr>
                <w:rFonts w:ascii="Times New Roman" w:hAnsi="Times New Roman"/>
                <w:b w:val="0"/>
                <w:sz w:val="20"/>
              </w:rPr>
              <w:t>REST API, authorization and workflow orchestration</w:t>
            </w:r>
          </w:p>
        </w:tc>
      </w:tr>
      <w:tr>
        <w:tc>
          <w:tcPr>
            <w:tcW w:type="dxa" w:w="2268"/>
            <w:vAlign w:val="center"/>
          </w:tcPr>
          <w:p>
            <w:pPr>
              <w:spacing w:line="240" w:lineRule="auto" w:after="0"/>
            </w:pPr>
            <w:r/>
            <w:r>
              <w:rPr>
                <w:rFonts w:ascii="Times New Roman" w:hAnsi="Times New Roman"/>
                <w:b w:val="0"/>
                <w:sz w:val="20"/>
              </w:rPr>
              <w:t>Flask AI service</w:t>
            </w:r>
          </w:p>
        </w:tc>
        <w:tc>
          <w:tcPr>
            <w:tcW w:type="dxa" w:w="1134"/>
            <w:vAlign w:val="center"/>
          </w:tcPr>
          <w:p>
            <w:pPr>
              <w:spacing w:line="240" w:lineRule="auto" w:after="0"/>
            </w:pPr>
            <w:r/>
            <w:r>
              <w:rPr>
                <w:rFonts w:ascii="Times New Roman" w:hAnsi="Times New Roman"/>
                <w:b w:val="0"/>
                <w:sz w:val="20"/>
              </w:rPr>
              <w:t>5001</w:t>
            </w:r>
          </w:p>
        </w:tc>
        <w:tc>
          <w:tcPr>
            <w:tcW w:type="dxa" w:w="4819"/>
            <w:vAlign w:val="center"/>
          </w:tcPr>
          <w:p>
            <w:pPr>
              <w:spacing w:line="240" w:lineRule="auto" w:after="0"/>
            </w:pPr>
            <w:r/>
            <w:r>
              <w:rPr>
                <w:rFonts w:ascii="Times New Roman" w:hAnsi="Times New Roman"/>
                <w:b w:val="0"/>
                <w:sz w:val="20"/>
              </w:rPr>
              <w:t>Text prediction and model status</w:t>
            </w:r>
          </w:p>
        </w:tc>
      </w:tr>
      <w:tr>
        <w:tc>
          <w:tcPr>
            <w:tcW w:type="dxa" w:w="2268"/>
            <w:vAlign w:val="center"/>
          </w:tcPr>
          <w:p>
            <w:pPr>
              <w:spacing w:line="240" w:lineRule="auto" w:after="0"/>
            </w:pPr>
            <w:r/>
            <w:r>
              <w:rPr>
                <w:rFonts w:ascii="Times New Roman" w:hAnsi="Times New Roman"/>
                <w:b w:val="0"/>
                <w:sz w:val="20"/>
              </w:rPr>
              <w:t>MongoDB</w:t>
            </w:r>
          </w:p>
        </w:tc>
        <w:tc>
          <w:tcPr>
            <w:tcW w:type="dxa" w:w="1134"/>
            <w:vAlign w:val="center"/>
          </w:tcPr>
          <w:p>
            <w:pPr>
              <w:spacing w:line="240" w:lineRule="auto" w:after="0"/>
            </w:pPr>
            <w:r/>
            <w:r>
              <w:rPr>
                <w:rFonts w:ascii="Times New Roman" w:hAnsi="Times New Roman"/>
                <w:b w:val="0"/>
                <w:sz w:val="20"/>
              </w:rPr>
              <w:t>27017 or managed URI</w:t>
            </w:r>
          </w:p>
        </w:tc>
        <w:tc>
          <w:tcPr>
            <w:tcW w:type="dxa" w:w="4819"/>
            <w:vAlign w:val="center"/>
          </w:tcPr>
          <w:p>
            <w:pPr>
              <w:spacing w:line="240" w:lineRule="auto" w:after="0"/>
            </w:pPr>
            <w:r/>
            <w:r>
              <w:rPr>
                <w:rFonts w:ascii="Times New Roman" w:hAnsi="Times New Roman"/>
                <w:b w:val="0"/>
                <w:sz w:val="20"/>
              </w:rPr>
              <w:t>Persistent document storage</w:t>
            </w:r>
          </w:p>
        </w:tc>
      </w:tr>
    </w:tbl>
    <w:p>
      <w:pPr>
        <w:spacing w:after="0"/>
      </w:pPr>
    </w:p>
    <w:p>
      <w:r>
        <w:t>The AI service exposes a health endpoint and prediction endpoints. During verification, the health response identified the active backend as transformer, the active model as somberta-b, and modelLoaded as true. The service is stateless after loading the artefacts, which permits independent scaling. If model inference is unavailable, the backend contains a limited keyword-based fallback for operational resilience; however, fallback decisions are not treated as equivalent to the validated transformer result and should be distinguished in audit metadata.</w:t>
      </w:r>
    </w:p>
    <w:p>
      <w:pPr>
        <w:pStyle w:val="Heading1"/>
      </w:pPr>
      <w:r>
        <w:t>4.5 System Modules and Functional Description</w:t>
      </w:r>
    </w:p>
    <w:p>
      <w:pPr>
        <w:spacing w:line="240" w:lineRule="auto" w:after="80"/>
      </w:pPr>
      <w:r>
        <w:rPr>
          <w:rFonts w:ascii="Times New Roman" w:hAnsi="Times New Roman"/>
          <w:b/>
          <w:sz w:val="22"/>
        </w:rPr>
        <w:t>Table 4.4: Functional modules of BAREAI</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1928"/>
            <w:vAlign w:val="center"/>
            <w:shd w:fill="D9EAF7"/>
          </w:tcPr>
          <w:p>
            <w:pPr>
              <w:spacing w:line="240" w:lineRule="auto" w:after="0"/>
            </w:pPr>
            <w:r/>
            <w:r>
              <w:rPr>
                <w:rFonts w:ascii="Times New Roman" w:hAnsi="Times New Roman"/>
                <w:b/>
                <w:sz w:val="20"/>
              </w:rPr>
              <w:t>Module</w:t>
            </w:r>
          </w:p>
        </w:tc>
        <w:tc>
          <w:tcPr>
            <w:tcW w:type="dxa" w:w="4195"/>
            <w:vAlign w:val="center"/>
            <w:shd w:fill="D9EAF7"/>
          </w:tcPr>
          <w:p>
            <w:pPr>
              <w:spacing w:line="240" w:lineRule="auto" w:after="0"/>
            </w:pPr>
            <w:r/>
            <w:r>
              <w:rPr>
                <w:rFonts w:ascii="Times New Roman" w:hAnsi="Times New Roman"/>
                <w:b/>
                <w:sz w:val="20"/>
              </w:rPr>
              <w:t>Main functions</w:t>
            </w:r>
          </w:p>
        </w:tc>
        <w:tc>
          <w:tcPr>
            <w:tcW w:type="dxa" w:w="2098"/>
            <w:vAlign w:val="center"/>
            <w:shd w:fill="D9EAF7"/>
          </w:tcPr>
          <w:p>
            <w:pPr>
              <w:spacing w:line="240" w:lineRule="auto" w:after="0"/>
            </w:pPr>
            <w:r/>
            <w:r>
              <w:rPr>
                <w:rFonts w:ascii="Times New Roman" w:hAnsi="Times New Roman"/>
                <w:b/>
                <w:sz w:val="20"/>
              </w:rPr>
              <w:t>Authorized roles</w:t>
            </w:r>
          </w:p>
        </w:tc>
      </w:tr>
      <w:tr>
        <w:tc>
          <w:tcPr>
            <w:tcW w:type="dxa" w:w="1928"/>
            <w:vAlign w:val="center"/>
          </w:tcPr>
          <w:p>
            <w:pPr>
              <w:spacing w:line="240" w:lineRule="auto" w:after="0"/>
            </w:pPr>
            <w:r/>
            <w:r>
              <w:rPr>
                <w:rFonts w:ascii="Times New Roman" w:hAnsi="Times New Roman"/>
                <w:b w:val="0"/>
                <w:sz w:val="20"/>
              </w:rPr>
              <w:t>Authentication</w:t>
            </w:r>
          </w:p>
        </w:tc>
        <w:tc>
          <w:tcPr>
            <w:tcW w:type="dxa" w:w="4195"/>
            <w:vAlign w:val="center"/>
          </w:tcPr>
          <w:p>
            <w:pPr>
              <w:spacing w:line="240" w:lineRule="auto" w:after="0"/>
            </w:pPr>
            <w:r/>
            <w:r>
              <w:rPr>
                <w:rFonts w:ascii="Times New Roman" w:hAnsi="Times New Roman"/>
                <w:b w:val="0"/>
                <w:sz w:val="20"/>
              </w:rPr>
              <w:t>Login, registration, email verification, password recovery, JWT session control</w:t>
            </w:r>
          </w:p>
        </w:tc>
        <w:tc>
          <w:tcPr>
            <w:tcW w:type="dxa" w:w="2098"/>
            <w:vAlign w:val="center"/>
          </w:tcPr>
          <w:p>
            <w:pPr>
              <w:spacing w:line="240" w:lineRule="auto" w:after="0"/>
            </w:pPr>
            <w:r/>
            <w:r>
              <w:rPr>
                <w:rFonts w:ascii="Times New Roman" w:hAnsi="Times New Roman"/>
                <w:b w:val="0"/>
                <w:sz w:val="20"/>
              </w:rPr>
              <w:t>All users</w:t>
            </w:r>
          </w:p>
        </w:tc>
      </w:tr>
      <w:tr>
        <w:tc>
          <w:tcPr>
            <w:tcW w:type="dxa" w:w="1928"/>
            <w:vAlign w:val="center"/>
          </w:tcPr>
          <w:p>
            <w:pPr>
              <w:spacing w:line="240" w:lineRule="auto" w:after="0"/>
            </w:pPr>
            <w:r/>
            <w:r>
              <w:rPr>
                <w:rFonts w:ascii="Times New Roman" w:hAnsi="Times New Roman"/>
                <w:b w:val="0"/>
                <w:sz w:val="20"/>
              </w:rPr>
              <w:t>Analysis</w:t>
            </w:r>
          </w:p>
        </w:tc>
        <w:tc>
          <w:tcPr>
            <w:tcW w:type="dxa" w:w="4195"/>
            <w:vAlign w:val="center"/>
          </w:tcPr>
          <w:p>
            <w:pPr>
              <w:spacing w:line="240" w:lineRule="auto" w:after="0"/>
            </w:pPr>
            <w:r/>
            <w:r>
              <w:rPr>
                <w:rFonts w:ascii="Times New Roman" w:hAnsi="Times New Roman"/>
                <w:b w:val="0"/>
                <w:sz w:val="20"/>
              </w:rPr>
              <w:t>Text, URL, file and batch classification; keyword and location enrichment</w:t>
            </w:r>
          </w:p>
        </w:tc>
        <w:tc>
          <w:tcPr>
            <w:tcW w:type="dxa" w:w="2098"/>
            <w:vAlign w:val="center"/>
          </w:tcPr>
          <w:p>
            <w:pPr>
              <w:spacing w:line="240" w:lineRule="auto" w:after="0"/>
            </w:pPr>
            <w:r/>
            <w:r>
              <w:rPr>
                <w:rFonts w:ascii="Times New Roman" w:hAnsi="Times New Roman"/>
                <w:b w:val="0"/>
                <w:sz w:val="20"/>
              </w:rPr>
              <w:t>Guest (limited) and authenticated users</w:t>
            </w:r>
          </w:p>
        </w:tc>
      </w:tr>
      <w:tr>
        <w:tc>
          <w:tcPr>
            <w:tcW w:type="dxa" w:w="1928"/>
            <w:vAlign w:val="center"/>
          </w:tcPr>
          <w:p>
            <w:pPr>
              <w:spacing w:line="240" w:lineRule="auto" w:after="0"/>
            </w:pPr>
            <w:r/>
            <w:r>
              <w:rPr>
                <w:rFonts w:ascii="Times New Roman" w:hAnsi="Times New Roman"/>
                <w:b w:val="0"/>
                <w:sz w:val="20"/>
              </w:rPr>
              <w:t>Dashboard</w:t>
            </w:r>
          </w:p>
        </w:tc>
        <w:tc>
          <w:tcPr>
            <w:tcW w:type="dxa" w:w="4195"/>
            <w:vAlign w:val="center"/>
          </w:tcPr>
          <w:p>
            <w:pPr>
              <w:spacing w:line="240" w:lineRule="auto" w:after="0"/>
            </w:pPr>
            <w:r/>
            <w:r>
              <w:rPr>
                <w:rFonts w:ascii="Times New Roman" w:hAnsi="Times New Roman"/>
                <w:b w:val="0"/>
                <w:sz w:val="20"/>
              </w:rPr>
              <w:t>KPIs, class distribution, trends, sources, investigations and blacklist matches</w:t>
            </w:r>
          </w:p>
        </w:tc>
        <w:tc>
          <w:tcPr>
            <w:tcW w:type="dxa" w:w="2098"/>
            <w:vAlign w:val="center"/>
          </w:tcPr>
          <w:p>
            <w:pPr>
              <w:spacing w:line="240" w:lineRule="auto" w:after="0"/>
            </w:pPr>
            <w:r/>
            <w:r>
              <w:rPr>
                <w:rFonts w:ascii="Times New Roman" w:hAnsi="Times New Roman"/>
                <w:b w:val="0"/>
                <w:sz w:val="20"/>
              </w:rPr>
              <w:t>Administrator</w:t>
            </w:r>
          </w:p>
        </w:tc>
      </w:tr>
      <w:tr>
        <w:tc>
          <w:tcPr>
            <w:tcW w:type="dxa" w:w="1928"/>
            <w:vAlign w:val="center"/>
          </w:tcPr>
          <w:p>
            <w:pPr>
              <w:spacing w:line="240" w:lineRule="auto" w:after="0"/>
            </w:pPr>
            <w:r/>
            <w:r>
              <w:rPr>
                <w:rFonts w:ascii="Times New Roman" w:hAnsi="Times New Roman"/>
                <w:b w:val="0"/>
                <w:sz w:val="20"/>
              </w:rPr>
              <w:t>User Management</w:t>
            </w:r>
          </w:p>
        </w:tc>
        <w:tc>
          <w:tcPr>
            <w:tcW w:type="dxa" w:w="4195"/>
            <w:vAlign w:val="center"/>
          </w:tcPr>
          <w:p>
            <w:pPr>
              <w:spacing w:line="240" w:lineRule="auto" w:after="0"/>
            </w:pPr>
            <w:r/>
            <w:r>
              <w:rPr>
                <w:rFonts w:ascii="Times New Roman" w:hAnsi="Times New Roman"/>
                <w:b w:val="0"/>
                <w:sz w:val="20"/>
              </w:rPr>
              <w:t>Create investigators, activate or suspend accounts, inspect roles</w:t>
            </w:r>
          </w:p>
        </w:tc>
        <w:tc>
          <w:tcPr>
            <w:tcW w:type="dxa" w:w="2098"/>
            <w:vAlign w:val="center"/>
          </w:tcPr>
          <w:p>
            <w:pPr>
              <w:spacing w:line="240" w:lineRule="auto" w:after="0"/>
            </w:pPr>
            <w:r/>
            <w:r>
              <w:rPr>
                <w:rFonts w:ascii="Times New Roman" w:hAnsi="Times New Roman"/>
                <w:b w:val="0"/>
                <w:sz w:val="20"/>
              </w:rPr>
              <w:t>Administrator</w:t>
            </w:r>
          </w:p>
        </w:tc>
      </w:tr>
      <w:tr>
        <w:tc>
          <w:tcPr>
            <w:tcW w:type="dxa" w:w="1928"/>
            <w:vAlign w:val="center"/>
          </w:tcPr>
          <w:p>
            <w:pPr>
              <w:spacing w:line="240" w:lineRule="auto" w:after="0"/>
            </w:pPr>
            <w:r/>
            <w:r>
              <w:rPr>
                <w:rFonts w:ascii="Times New Roman" w:hAnsi="Times New Roman"/>
                <w:b w:val="0"/>
                <w:sz w:val="20"/>
              </w:rPr>
              <w:t>Blacklist</w:t>
            </w:r>
          </w:p>
        </w:tc>
        <w:tc>
          <w:tcPr>
            <w:tcW w:type="dxa" w:w="4195"/>
            <w:vAlign w:val="center"/>
          </w:tcPr>
          <w:p>
            <w:pPr>
              <w:spacing w:line="240" w:lineRule="auto" w:after="0"/>
            </w:pPr>
            <w:r/>
            <w:r>
              <w:rPr>
                <w:rFonts w:ascii="Times New Roman" w:hAnsi="Times New Roman"/>
                <w:b w:val="0"/>
                <w:sz w:val="20"/>
              </w:rPr>
              <w:t>Maintain monitored entities and review matches</w:t>
            </w:r>
          </w:p>
        </w:tc>
        <w:tc>
          <w:tcPr>
            <w:tcW w:type="dxa" w:w="2098"/>
            <w:vAlign w:val="center"/>
          </w:tcPr>
          <w:p>
            <w:pPr>
              <w:spacing w:line="240" w:lineRule="auto" w:after="0"/>
            </w:pPr>
            <w:r/>
            <w:r>
              <w:rPr>
                <w:rFonts w:ascii="Times New Roman" w:hAnsi="Times New Roman"/>
                <w:b w:val="0"/>
                <w:sz w:val="20"/>
              </w:rPr>
              <w:t>Administrator and Investigator</w:t>
            </w:r>
          </w:p>
        </w:tc>
      </w:tr>
      <w:tr>
        <w:tc>
          <w:tcPr>
            <w:tcW w:type="dxa" w:w="1928"/>
            <w:vAlign w:val="center"/>
          </w:tcPr>
          <w:p>
            <w:pPr>
              <w:spacing w:line="240" w:lineRule="auto" w:after="0"/>
            </w:pPr>
            <w:r/>
            <w:r>
              <w:rPr>
                <w:rFonts w:ascii="Times New Roman" w:hAnsi="Times New Roman"/>
                <w:b w:val="0"/>
                <w:sz w:val="20"/>
              </w:rPr>
              <w:t>Case Management</w:t>
            </w:r>
          </w:p>
        </w:tc>
        <w:tc>
          <w:tcPr>
            <w:tcW w:type="dxa" w:w="4195"/>
            <w:vAlign w:val="center"/>
          </w:tcPr>
          <w:p>
            <w:pPr>
              <w:spacing w:line="240" w:lineRule="auto" w:after="0"/>
            </w:pPr>
            <w:r/>
            <w:r>
              <w:rPr>
                <w:rFonts w:ascii="Times New Roman" w:hAnsi="Times New Roman"/>
                <w:b w:val="0"/>
                <w:sz w:val="20"/>
              </w:rPr>
              <w:t>Assign/claim cases, add notes, classify, resolve and delete according to role</w:t>
            </w:r>
          </w:p>
        </w:tc>
        <w:tc>
          <w:tcPr>
            <w:tcW w:type="dxa" w:w="2098"/>
            <w:vAlign w:val="center"/>
          </w:tcPr>
          <w:p>
            <w:pPr>
              <w:spacing w:line="240" w:lineRule="auto" w:after="0"/>
            </w:pPr>
            <w:r/>
            <w:r>
              <w:rPr>
                <w:rFonts w:ascii="Times New Roman" w:hAnsi="Times New Roman"/>
                <w:b w:val="0"/>
                <w:sz w:val="20"/>
              </w:rPr>
              <w:t>Administrator and Investigator</w:t>
            </w:r>
          </w:p>
        </w:tc>
      </w:tr>
      <w:tr>
        <w:tc>
          <w:tcPr>
            <w:tcW w:type="dxa" w:w="1928"/>
            <w:vAlign w:val="center"/>
          </w:tcPr>
          <w:p>
            <w:pPr>
              <w:spacing w:line="240" w:lineRule="auto" w:after="0"/>
            </w:pPr>
            <w:r/>
            <w:r>
              <w:rPr>
                <w:rFonts w:ascii="Times New Roman" w:hAnsi="Times New Roman"/>
                <w:b w:val="0"/>
                <w:sz w:val="20"/>
              </w:rPr>
              <w:t>Reports</w:t>
            </w:r>
          </w:p>
        </w:tc>
        <w:tc>
          <w:tcPr>
            <w:tcW w:type="dxa" w:w="4195"/>
            <w:vAlign w:val="center"/>
          </w:tcPr>
          <w:p>
            <w:pPr>
              <w:spacing w:line="240" w:lineRule="auto" w:after="0"/>
            </w:pPr>
            <w:r/>
            <w:r>
              <w:rPr>
                <w:rFonts w:ascii="Times New Roman" w:hAnsi="Times New Roman"/>
                <w:b w:val="0"/>
                <w:sz w:val="20"/>
              </w:rPr>
              <w:t>Aggregate and case-specific outputs with export functions</w:t>
            </w:r>
          </w:p>
        </w:tc>
        <w:tc>
          <w:tcPr>
            <w:tcW w:type="dxa" w:w="2098"/>
            <w:vAlign w:val="center"/>
          </w:tcPr>
          <w:p>
            <w:pPr>
              <w:spacing w:line="240" w:lineRule="auto" w:after="0"/>
            </w:pPr>
            <w:r/>
            <w:r>
              <w:rPr>
                <w:rFonts w:ascii="Times New Roman" w:hAnsi="Times New Roman"/>
                <w:b w:val="0"/>
                <w:sz w:val="20"/>
              </w:rPr>
              <w:t>Administrator and Investigator</w:t>
            </w:r>
          </w:p>
        </w:tc>
      </w:tr>
      <w:tr>
        <w:tc>
          <w:tcPr>
            <w:tcW w:type="dxa" w:w="1928"/>
            <w:vAlign w:val="center"/>
          </w:tcPr>
          <w:p>
            <w:pPr>
              <w:spacing w:line="240" w:lineRule="auto" w:after="0"/>
            </w:pPr>
            <w:r/>
            <w:r>
              <w:rPr>
                <w:rFonts w:ascii="Times New Roman" w:hAnsi="Times New Roman"/>
                <w:b w:val="0"/>
                <w:sz w:val="20"/>
              </w:rPr>
              <w:t>Notifications</w:t>
            </w:r>
          </w:p>
        </w:tc>
        <w:tc>
          <w:tcPr>
            <w:tcW w:type="dxa" w:w="4195"/>
            <w:vAlign w:val="center"/>
          </w:tcPr>
          <w:p>
            <w:pPr>
              <w:spacing w:line="240" w:lineRule="auto" w:after="0"/>
            </w:pPr>
            <w:r/>
            <w:r>
              <w:rPr>
                <w:rFonts w:ascii="Times New Roman" w:hAnsi="Times New Roman"/>
                <w:b w:val="0"/>
                <w:sz w:val="20"/>
              </w:rPr>
              <w:t>In-app operational and blacklist alerts</w:t>
            </w:r>
          </w:p>
        </w:tc>
        <w:tc>
          <w:tcPr>
            <w:tcW w:type="dxa" w:w="2098"/>
            <w:vAlign w:val="center"/>
          </w:tcPr>
          <w:p>
            <w:pPr>
              <w:spacing w:line="240" w:lineRule="auto" w:after="0"/>
            </w:pPr>
            <w:r/>
            <w:r>
              <w:rPr>
                <w:rFonts w:ascii="Times New Roman" w:hAnsi="Times New Roman"/>
                <w:b w:val="0"/>
                <w:sz w:val="20"/>
              </w:rPr>
              <w:t>Administrator and Investigator</w:t>
            </w:r>
          </w:p>
        </w:tc>
      </w:tr>
      <w:tr>
        <w:tc>
          <w:tcPr>
            <w:tcW w:type="dxa" w:w="1928"/>
            <w:vAlign w:val="center"/>
          </w:tcPr>
          <w:p>
            <w:pPr>
              <w:spacing w:line="240" w:lineRule="auto" w:after="0"/>
            </w:pPr>
            <w:r/>
            <w:r>
              <w:rPr>
                <w:rFonts w:ascii="Times New Roman" w:hAnsi="Times New Roman"/>
                <w:b w:val="0"/>
                <w:sz w:val="20"/>
              </w:rPr>
              <w:t>Audit Logs</w:t>
            </w:r>
          </w:p>
        </w:tc>
        <w:tc>
          <w:tcPr>
            <w:tcW w:type="dxa" w:w="4195"/>
            <w:vAlign w:val="center"/>
          </w:tcPr>
          <w:p>
            <w:pPr>
              <w:spacing w:line="240" w:lineRule="auto" w:after="0"/>
            </w:pPr>
            <w:r/>
            <w:r>
              <w:rPr>
                <w:rFonts w:ascii="Times New Roman" w:hAnsi="Times New Roman"/>
                <w:b w:val="0"/>
                <w:sz w:val="20"/>
              </w:rPr>
              <w:t>Time-stamped security and workflow activity</w:t>
            </w:r>
          </w:p>
        </w:tc>
        <w:tc>
          <w:tcPr>
            <w:tcW w:type="dxa" w:w="2098"/>
            <w:vAlign w:val="center"/>
          </w:tcPr>
          <w:p>
            <w:pPr>
              <w:spacing w:line="240" w:lineRule="auto" w:after="0"/>
            </w:pPr>
            <w:r/>
            <w:r>
              <w:rPr>
                <w:rFonts w:ascii="Times New Roman" w:hAnsi="Times New Roman"/>
                <w:b w:val="0"/>
                <w:sz w:val="20"/>
              </w:rPr>
              <w:t>Administrator</w:t>
            </w:r>
          </w:p>
        </w:tc>
      </w:tr>
      <w:tr>
        <w:tc>
          <w:tcPr>
            <w:tcW w:type="dxa" w:w="1928"/>
            <w:vAlign w:val="center"/>
          </w:tcPr>
          <w:p>
            <w:pPr>
              <w:spacing w:line="240" w:lineRule="auto" w:after="0"/>
            </w:pPr>
            <w:r/>
            <w:r>
              <w:rPr>
                <w:rFonts w:ascii="Times New Roman" w:hAnsi="Times New Roman"/>
                <w:b w:val="0"/>
                <w:sz w:val="20"/>
              </w:rPr>
              <w:t>Dataset Manager</w:t>
            </w:r>
          </w:p>
        </w:tc>
        <w:tc>
          <w:tcPr>
            <w:tcW w:type="dxa" w:w="4195"/>
            <w:vAlign w:val="center"/>
          </w:tcPr>
          <w:p>
            <w:pPr>
              <w:spacing w:line="240" w:lineRule="auto" w:after="0"/>
            </w:pPr>
            <w:r/>
            <w:r>
              <w:rPr>
                <w:rFonts w:ascii="Times New Roman" w:hAnsi="Times New Roman"/>
                <w:b w:val="0"/>
                <w:sz w:val="20"/>
              </w:rPr>
              <w:t>Filter and export collected records by source and label</w:t>
            </w:r>
          </w:p>
        </w:tc>
        <w:tc>
          <w:tcPr>
            <w:tcW w:type="dxa" w:w="2098"/>
            <w:vAlign w:val="center"/>
          </w:tcPr>
          <w:p>
            <w:pPr>
              <w:spacing w:line="240" w:lineRule="auto" w:after="0"/>
            </w:pPr>
            <w:r/>
            <w:r>
              <w:rPr>
                <w:rFonts w:ascii="Times New Roman" w:hAnsi="Times New Roman"/>
                <w:b w:val="0"/>
                <w:sz w:val="20"/>
              </w:rPr>
              <w:t>Dataset Manager</w:t>
            </w:r>
          </w:p>
        </w:tc>
      </w:tr>
      <w:tr>
        <w:tc>
          <w:tcPr>
            <w:tcW w:type="dxa" w:w="1928"/>
            <w:vAlign w:val="center"/>
          </w:tcPr>
          <w:p>
            <w:pPr>
              <w:spacing w:line="240" w:lineRule="auto" w:after="0"/>
            </w:pPr>
            <w:r/>
            <w:r>
              <w:rPr>
                <w:rFonts w:ascii="Times New Roman" w:hAnsi="Times New Roman"/>
                <w:b w:val="0"/>
                <w:sz w:val="20"/>
              </w:rPr>
              <w:t>Settings/Profile</w:t>
            </w:r>
          </w:p>
        </w:tc>
        <w:tc>
          <w:tcPr>
            <w:tcW w:type="dxa" w:w="4195"/>
            <w:vAlign w:val="center"/>
          </w:tcPr>
          <w:p>
            <w:pPr>
              <w:spacing w:line="240" w:lineRule="auto" w:after="0"/>
            </w:pPr>
            <w:r/>
            <w:r>
              <w:rPr>
                <w:rFonts w:ascii="Times New Roman" w:hAnsi="Times New Roman"/>
                <w:b w:val="0"/>
                <w:sz w:val="20"/>
              </w:rPr>
              <w:t>Identity, theme, alerts, password and personal settings</w:t>
            </w:r>
          </w:p>
        </w:tc>
        <w:tc>
          <w:tcPr>
            <w:tcW w:type="dxa" w:w="2098"/>
            <w:vAlign w:val="center"/>
          </w:tcPr>
          <w:p>
            <w:pPr>
              <w:spacing w:line="240" w:lineRule="auto" w:after="0"/>
            </w:pPr>
            <w:r/>
            <w:r>
              <w:rPr>
                <w:rFonts w:ascii="Times New Roman" w:hAnsi="Times New Roman"/>
                <w:b w:val="0"/>
                <w:sz w:val="20"/>
              </w:rPr>
              <w:t>Authenticated users</w:t>
            </w:r>
          </w:p>
        </w:tc>
      </w:tr>
    </w:tbl>
    <w:p>
      <w:pPr>
        <w:spacing w:after="0"/>
      </w:pPr>
    </w:p>
    <w:p>
      <w:r>
        <w:t>The functional flow starts when a user supplies Somali text or a remote source. The backend validates the request and, for URLs and files, extracts readable text. The AI service returns a class decision. Crime keywords, known Somali places, and blacklist entities are then attached. A crime-positive result may be converted into an investigation case, generating notifications and an audit event. This linkage between classification and downstream accountability is a central implementation contribution because it prevents the model output from remaining an isolated experimental result.</w:t>
      </w:r>
    </w:p>
    <w:p>
      <w:pPr>
        <w:pStyle w:val="Heading1"/>
      </w:pPr>
      <w:r>
        <w:t>4.6 User Interface Implementation</w:t>
      </w:r>
    </w:p>
    <w:p>
      <w:r>
        <w:t>The interface was implemented as a responsive single-page application with a consistent navigation hierarchy, accessible headings, role-sensitive sidebars, status badges, cards, tables, charts, and modal interactions. The screenshots below are evidence from the running system. Each interface is discussed in terms of its operational purpose rather than its visual appearance alone.</w:t>
      </w:r>
    </w:p>
    <w:p>
      <w:pPr>
        <w:spacing w:before="120"/>
        <w:ind w:firstLine="0"/>
        <w:jc w:val="center"/>
      </w:pPr>
      <w:r>
        <w:drawing>
          <wp:inline xmlns:a="http://schemas.openxmlformats.org/drawingml/2006/main" xmlns:pic="http://schemas.openxmlformats.org/drawingml/2006/picture">
            <wp:extent cx="5112000" cy="2877005"/>
            <wp:docPr id="4" name="Picture 4"/>
            <wp:cNvGraphicFramePr>
              <a:graphicFrameLocks noChangeAspect="1"/>
            </wp:cNvGraphicFramePr>
            <a:graphic>
              <a:graphicData uri="http://schemas.openxmlformats.org/drawingml/2006/picture">
                <pic:pic>
                  <pic:nvPicPr>
                    <pic:cNvPr id="0" name="figure_4_01_home.png"/>
                    <pic:cNvPicPr/>
                  </pic:nvPicPr>
                  <pic:blipFill>
                    <a:blip r:embed="rId14"/>
                    <a:stretch>
                      <a:fillRect/>
                    </a:stretch>
                  </pic:blipFill>
                  <pic:spPr>
                    <a:xfrm>
                      <a:off x="0" y="0"/>
                      <a:ext cx="5112000" cy="2877005"/>
                    </a:xfrm>
                    <a:prstGeom prst="rect"/>
                  </pic:spPr>
                </pic:pic>
              </a:graphicData>
            </a:graphic>
          </wp:inline>
        </w:drawing>
      </w:r>
    </w:p>
    <w:p>
      <w:pPr>
        <w:pStyle w:val="FigureCaption"/>
      </w:pPr>
      <w:r>
        <w:t>Figure 4.4: BAREAI public landing page</w:t>
      </w:r>
    </w:p>
    <w:p>
      <w:r>
        <w:t>The landing interface communicates the system purpose and provides controlled entry to public analysis and staff authentication. It also summarizes the review-enrich-investigate workflow and distinguishes public features from protected operations.</w:t>
      </w:r>
    </w:p>
    <w:p>
      <w:pPr>
        <w:spacing w:before="120"/>
        <w:ind w:firstLine="0"/>
        <w:jc w:val="center"/>
      </w:pPr>
      <w:r>
        <w:drawing>
          <wp:inline xmlns:a="http://schemas.openxmlformats.org/drawingml/2006/main" xmlns:pic="http://schemas.openxmlformats.org/drawingml/2006/picture">
            <wp:extent cx="5112000" cy="2875500"/>
            <wp:docPr id="5" name="Picture 5"/>
            <wp:cNvGraphicFramePr>
              <a:graphicFrameLocks noChangeAspect="1"/>
            </wp:cNvGraphicFramePr>
            <a:graphic>
              <a:graphicData uri="http://schemas.openxmlformats.org/drawingml/2006/picture">
                <pic:pic>
                  <pic:nvPicPr>
                    <pic:cNvPr id="0" name="figure_4_02_login.png"/>
                    <pic:cNvPicPr/>
                  </pic:nvPicPr>
                  <pic:blipFill>
                    <a:blip r:embed="rId15"/>
                    <a:stretch>
                      <a:fillRect/>
                    </a:stretch>
                  </pic:blipFill>
                  <pic:spPr>
                    <a:xfrm>
                      <a:off x="0" y="0"/>
                      <a:ext cx="5112000" cy="2875500"/>
                    </a:xfrm>
                    <a:prstGeom prst="rect"/>
                  </pic:spPr>
                </pic:pic>
              </a:graphicData>
            </a:graphic>
          </wp:inline>
        </w:drawing>
      </w:r>
    </w:p>
    <w:p>
      <w:pPr>
        <w:pStyle w:val="FigureCaption"/>
      </w:pPr>
      <w:r>
        <w:t>Figure 4.5: Secure login interface</w:t>
      </w:r>
    </w:p>
    <w:p>
      <w:r>
        <w:t>The login page collects an email address and password through a dedicated authentication shell. Password visibility control and password-recovery navigation improve usability, while the backend applies hashed-password verification and JWT session creation.</w:t>
      </w:r>
    </w:p>
    <w:p>
      <w:pPr>
        <w:spacing w:before="120"/>
        <w:ind w:firstLine="0"/>
        <w:jc w:val="center"/>
      </w:pPr>
      <w:r>
        <w:drawing>
          <wp:inline xmlns:a="http://schemas.openxmlformats.org/drawingml/2006/main" xmlns:pic="http://schemas.openxmlformats.org/drawingml/2006/picture">
            <wp:extent cx="5112000" cy="2877005"/>
            <wp:docPr id="6" name="Picture 6"/>
            <wp:cNvGraphicFramePr>
              <a:graphicFrameLocks noChangeAspect="1"/>
            </wp:cNvGraphicFramePr>
            <a:graphic>
              <a:graphicData uri="http://schemas.openxmlformats.org/drawingml/2006/picture">
                <pic:pic>
                  <pic:nvPicPr>
                    <pic:cNvPr id="0" name="figure_4_15_analysis.png"/>
                    <pic:cNvPicPr/>
                  </pic:nvPicPr>
                  <pic:blipFill>
                    <a:blip r:embed="rId16"/>
                    <a:stretch>
                      <a:fillRect/>
                    </a:stretch>
                  </pic:blipFill>
                  <pic:spPr>
                    <a:xfrm>
                      <a:off x="0" y="0"/>
                      <a:ext cx="5112000" cy="2877005"/>
                    </a:xfrm>
                    <a:prstGeom prst="rect"/>
                  </pic:spPr>
                </pic:pic>
              </a:graphicData>
            </a:graphic>
          </wp:inline>
        </w:drawing>
      </w:r>
    </w:p>
    <w:p>
      <w:pPr>
        <w:pStyle w:val="FigureCaption"/>
      </w:pPr>
      <w:r>
        <w:t>Figure 4.6: Public Somali text-analysis interface</w:t>
      </w:r>
    </w:p>
    <w:p>
      <w:r>
        <w:t>The Analysis interface supports text, URL, file, and batch modes. For public users it enforces a limited trial, Somali-language validation, and an input-length restriction. These controls reduce misuse and align the deployed interface with the study scope.</w:t>
      </w:r>
    </w:p>
    <w:p>
      <w:pPr>
        <w:spacing w:before="120"/>
        <w:ind w:firstLine="0"/>
        <w:jc w:val="center"/>
      </w:pPr>
      <w:r>
        <w:drawing>
          <wp:inline xmlns:a="http://schemas.openxmlformats.org/drawingml/2006/main" xmlns:pic="http://schemas.openxmlformats.org/drawingml/2006/picture">
            <wp:extent cx="5112000" cy="2877005"/>
            <wp:docPr id="7" name="Picture 7"/>
            <wp:cNvGraphicFramePr>
              <a:graphicFrameLocks noChangeAspect="1"/>
            </wp:cNvGraphicFramePr>
            <a:graphic>
              <a:graphicData uri="http://schemas.openxmlformats.org/drawingml/2006/picture">
                <pic:pic>
                  <pic:nvPicPr>
                    <pic:cNvPr id="0" name="figure_4_03_admin_dashboard.png"/>
                    <pic:cNvPicPr/>
                  </pic:nvPicPr>
                  <pic:blipFill>
                    <a:blip r:embed="rId17"/>
                    <a:stretch>
                      <a:fillRect/>
                    </a:stretch>
                  </pic:blipFill>
                  <pic:spPr>
                    <a:xfrm>
                      <a:off x="0" y="0"/>
                      <a:ext cx="5112000" cy="2877005"/>
                    </a:xfrm>
                    <a:prstGeom prst="rect"/>
                  </pic:spPr>
                </pic:pic>
              </a:graphicData>
            </a:graphic>
          </wp:inline>
        </w:drawing>
      </w:r>
    </w:p>
    <w:p>
      <w:pPr>
        <w:pStyle w:val="FigureCaption"/>
      </w:pPr>
      <w:r>
        <w:t>Figure 4.7: Administrator dashboard overview</w:t>
      </w:r>
    </w:p>
    <w:p>
      <w:r>
        <w:t>The administrator dashboard consolidates the principal operational indicators. At capture time it displayed 103 analyses, 39 crime detections, 64 non-crime decisions, eight monitored Facebook pages, and 39 active cases, thereby demonstrating persistence and end-to-end system activity.</w:t>
      </w:r>
    </w:p>
    <w:p>
      <w:pPr>
        <w:spacing w:before="120"/>
        <w:ind w:firstLine="0"/>
        <w:jc w:val="center"/>
      </w:pPr>
      <w:r>
        <w:drawing>
          <wp:inline xmlns:a="http://schemas.openxmlformats.org/drawingml/2006/main" xmlns:pic="http://schemas.openxmlformats.org/drawingml/2006/picture">
            <wp:extent cx="5112000" cy="2877005"/>
            <wp:docPr id="8" name="Picture 8"/>
            <wp:cNvGraphicFramePr>
              <a:graphicFrameLocks noChangeAspect="1"/>
            </wp:cNvGraphicFramePr>
            <a:graphic>
              <a:graphicData uri="http://schemas.openxmlformats.org/drawingml/2006/picture">
                <pic:pic>
                  <pic:nvPicPr>
                    <pic:cNvPr id="0" name="figure_4_07_dashboard_charts.png"/>
                    <pic:cNvPicPr/>
                  </pic:nvPicPr>
                  <pic:blipFill>
                    <a:blip r:embed="rId18"/>
                    <a:stretch>
                      <a:fillRect/>
                    </a:stretch>
                  </pic:blipFill>
                  <pic:spPr>
                    <a:xfrm>
                      <a:off x="0" y="0"/>
                      <a:ext cx="5112000" cy="2877005"/>
                    </a:xfrm>
                    <a:prstGeom prst="rect"/>
                  </pic:spPr>
                </pic:pic>
              </a:graphicData>
            </a:graphic>
          </wp:inline>
        </w:drawing>
      </w:r>
    </w:p>
    <w:p>
      <w:pPr>
        <w:pStyle w:val="FigureCaption"/>
      </w:pPr>
      <w:r>
        <w:t>Figure 4.8: Dashboard analytical charts</w:t>
      </w:r>
    </w:p>
    <w:p>
      <w:r>
        <w:t>Trend, class-distribution, input-source, investigation-status, and blacklist-match charts transform stored records into decision-support information. The observed class distribution was 38% crime and 62% non-crime for the live operational sample.</w:t>
      </w:r>
    </w:p>
    <w:p>
      <w:pPr>
        <w:spacing w:before="120"/>
        <w:ind w:firstLine="0"/>
        <w:jc w:val="center"/>
      </w:pPr>
      <w:r>
        <w:drawing>
          <wp:inline xmlns:a="http://schemas.openxmlformats.org/drawingml/2006/main" xmlns:pic="http://schemas.openxmlformats.org/drawingml/2006/picture">
            <wp:extent cx="5112000" cy="2877005"/>
            <wp:docPr id="9" name="Picture 9"/>
            <wp:cNvGraphicFramePr>
              <a:graphicFrameLocks noChangeAspect="1"/>
            </wp:cNvGraphicFramePr>
            <a:graphic>
              <a:graphicData uri="http://schemas.openxmlformats.org/drawingml/2006/picture">
                <pic:pic>
                  <pic:nvPicPr>
                    <pic:cNvPr id="0" name="figure_4_08_user_management.png"/>
                    <pic:cNvPicPr/>
                  </pic:nvPicPr>
                  <pic:blipFill>
                    <a:blip r:embed="rId19"/>
                    <a:stretch>
                      <a:fillRect/>
                    </a:stretch>
                  </pic:blipFill>
                  <pic:spPr>
                    <a:xfrm>
                      <a:off x="0" y="0"/>
                      <a:ext cx="5112000" cy="2877005"/>
                    </a:xfrm>
                    <a:prstGeom prst="rect"/>
                  </pic:spPr>
                </pic:pic>
              </a:graphicData>
            </a:graphic>
          </wp:inline>
        </w:drawing>
      </w:r>
    </w:p>
    <w:p>
      <w:pPr>
        <w:pStyle w:val="FigureCaption"/>
      </w:pPr>
      <w:r>
        <w:t>Figure 4.9: User-management interface</w:t>
      </w:r>
    </w:p>
    <w:p>
      <w:r>
        <w:t>The user-management page enables administrators to review identities, roles, verification state, and account status. Restricting this page to the administrator protects investigator and Dataset Manager account governance.</w:t>
      </w:r>
    </w:p>
    <w:p>
      <w:pPr>
        <w:spacing w:before="120"/>
        <w:ind w:firstLine="0"/>
        <w:jc w:val="center"/>
      </w:pPr>
      <w:r>
        <w:drawing>
          <wp:inline xmlns:a="http://schemas.openxmlformats.org/drawingml/2006/main" xmlns:pic="http://schemas.openxmlformats.org/drawingml/2006/picture">
            <wp:extent cx="5112000" cy="2877005"/>
            <wp:docPr id="10" name="Picture 10"/>
            <wp:cNvGraphicFramePr>
              <a:graphicFrameLocks noChangeAspect="1"/>
            </wp:cNvGraphicFramePr>
            <a:graphic>
              <a:graphicData uri="http://schemas.openxmlformats.org/drawingml/2006/picture">
                <pic:pic>
                  <pic:nvPicPr>
                    <pic:cNvPr id="0" name="figure_4_09_blacklist.png"/>
                    <pic:cNvPicPr/>
                  </pic:nvPicPr>
                  <pic:blipFill>
                    <a:blip r:embed="rId20"/>
                    <a:stretch>
                      <a:fillRect/>
                    </a:stretch>
                  </pic:blipFill>
                  <pic:spPr>
                    <a:xfrm>
                      <a:off x="0" y="0"/>
                      <a:ext cx="5112000" cy="2877005"/>
                    </a:xfrm>
                    <a:prstGeom prst="rect"/>
                  </pic:spPr>
                </pic:pic>
              </a:graphicData>
            </a:graphic>
          </wp:inline>
        </w:drawing>
      </w:r>
    </w:p>
    <w:p>
      <w:pPr>
        <w:pStyle w:val="FigureCaption"/>
      </w:pPr>
      <w:r>
        <w:t>Figure 4.10: Blacklist-management interface</w:t>
      </w:r>
    </w:p>
    <w:p>
      <w:r>
        <w:t>The blacklist module maintains entities and sources requiring special attention. Matches produced during analysis or monitoring are surfaced to authorized personnel and can support case escalation.</w:t>
      </w:r>
    </w:p>
    <w:p>
      <w:pPr>
        <w:spacing w:before="120"/>
        <w:ind w:firstLine="0"/>
        <w:jc w:val="center"/>
      </w:pPr>
      <w:r>
        <w:drawing>
          <wp:inline xmlns:a="http://schemas.openxmlformats.org/drawingml/2006/main" xmlns:pic="http://schemas.openxmlformats.org/drawingml/2006/picture">
            <wp:extent cx="5112000" cy="2877005"/>
            <wp:docPr id="11" name="Picture 11"/>
            <wp:cNvGraphicFramePr>
              <a:graphicFrameLocks noChangeAspect="1"/>
            </wp:cNvGraphicFramePr>
            <a:graphic>
              <a:graphicData uri="http://schemas.openxmlformats.org/drawingml/2006/picture">
                <pic:pic>
                  <pic:nvPicPr>
                    <pic:cNvPr id="0" name="figure_4_04_case_management.png"/>
                    <pic:cNvPicPr/>
                  </pic:nvPicPr>
                  <pic:blipFill>
                    <a:blip r:embed="rId21"/>
                    <a:stretch>
                      <a:fillRect/>
                    </a:stretch>
                  </pic:blipFill>
                  <pic:spPr>
                    <a:xfrm>
                      <a:off x="0" y="0"/>
                      <a:ext cx="5112000" cy="2877005"/>
                    </a:xfrm>
                    <a:prstGeom prst="rect"/>
                  </pic:spPr>
                </pic:pic>
              </a:graphicData>
            </a:graphic>
          </wp:inline>
        </w:drawing>
      </w:r>
    </w:p>
    <w:p>
      <w:pPr>
        <w:pStyle w:val="FigureCaption"/>
      </w:pPr>
      <w:r>
        <w:t>Figure 4.11: Administrator case-management interface</w:t>
      </w:r>
    </w:p>
    <w:p>
      <w:r>
        <w:t>The case workspace presents active, assigned, reported, and resolved cases. Controls for assignment, investigation start, verdict, viewing, and deletion are role-checked and record workflow events for accountability.</w:t>
      </w:r>
    </w:p>
    <w:p>
      <w:pPr>
        <w:spacing w:before="120"/>
        <w:ind w:firstLine="0"/>
        <w:jc w:val="center"/>
      </w:pPr>
      <w:r>
        <w:drawing>
          <wp:inline xmlns:a="http://schemas.openxmlformats.org/drawingml/2006/main" xmlns:pic="http://schemas.openxmlformats.org/drawingml/2006/picture">
            <wp:extent cx="5112000" cy="2877005"/>
            <wp:docPr id="12" name="Picture 12"/>
            <wp:cNvGraphicFramePr>
              <a:graphicFrameLocks noChangeAspect="1"/>
            </wp:cNvGraphicFramePr>
            <a:graphic>
              <a:graphicData uri="http://schemas.openxmlformats.org/drawingml/2006/picture">
                <pic:pic>
                  <pic:nvPicPr>
                    <pic:cNvPr id="0" name="figure_4_06_investigator_cases.png"/>
                    <pic:cNvPicPr/>
                  </pic:nvPicPr>
                  <pic:blipFill>
                    <a:blip r:embed="rId22"/>
                    <a:stretch>
                      <a:fillRect/>
                    </a:stretch>
                  </pic:blipFill>
                  <pic:spPr>
                    <a:xfrm>
                      <a:off x="0" y="0"/>
                      <a:ext cx="5112000" cy="2877005"/>
                    </a:xfrm>
                    <a:prstGeom prst="rect"/>
                  </pic:spPr>
                </pic:pic>
              </a:graphicData>
            </a:graphic>
          </wp:inline>
        </w:drawing>
      </w:r>
    </w:p>
    <w:p>
      <w:pPr>
        <w:pStyle w:val="FigureCaption"/>
      </w:pPr>
      <w:r>
        <w:t>Figure 4.12: Investigator case workspace</w:t>
      </w:r>
    </w:p>
    <w:p>
      <w:r>
        <w:t>The investigator interface removes administrative functions and focuses on available and assigned investigations, reports, and resolution. This is direct visual evidence of role-based access control.</w:t>
      </w:r>
    </w:p>
    <w:p>
      <w:pPr>
        <w:spacing w:before="120"/>
        <w:ind w:firstLine="0"/>
        <w:jc w:val="center"/>
      </w:pPr>
      <w:r>
        <w:drawing>
          <wp:inline xmlns:a="http://schemas.openxmlformats.org/drawingml/2006/main" xmlns:pic="http://schemas.openxmlformats.org/drawingml/2006/picture">
            <wp:extent cx="5112000" cy="2877005"/>
            <wp:docPr id="13" name="Picture 13"/>
            <wp:cNvGraphicFramePr>
              <a:graphicFrameLocks noChangeAspect="1"/>
            </wp:cNvGraphicFramePr>
            <a:graphic>
              <a:graphicData uri="http://schemas.openxmlformats.org/drawingml/2006/picture">
                <pic:pic>
                  <pic:nvPicPr>
                    <pic:cNvPr id="0" name="figure_4_10_reports.png"/>
                    <pic:cNvPicPr/>
                  </pic:nvPicPr>
                  <pic:blipFill>
                    <a:blip r:embed="rId23"/>
                    <a:stretch>
                      <a:fillRect/>
                    </a:stretch>
                  </pic:blipFill>
                  <pic:spPr>
                    <a:xfrm>
                      <a:off x="0" y="0"/>
                      <a:ext cx="5112000" cy="2877005"/>
                    </a:xfrm>
                    <a:prstGeom prst="rect"/>
                  </pic:spPr>
                </pic:pic>
              </a:graphicData>
            </a:graphic>
          </wp:inline>
        </w:drawing>
      </w:r>
    </w:p>
    <w:p>
      <w:pPr>
        <w:pStyle w:val="FigureCaption"/>
      </w:pPr>
      <w:r>
        <w:t>Figure 4.13: Reporting interface</w:t>
      </w:r>
    </w:p>
    <w:p>
      <w:r>
        <w:t>The Reports page aggregates analysis and investigation information and supports formal output. Reporting translates model and workflow records into evidence that supervisors and investigators can review outside the prediction screen.</w:t>
      </w:r>
    </w:p>
    <w:p>
      <w:pPr>
        <w:spacing w:before="120"/>
        <w:ind w:firstLine="0"/>
        <w:jc w:val="center"/>
      </w:pPr>
      <w:r>
        <w:drawing>
          <wp:inline xmlns:a="http://schemas.openxmlformats.org/drawingml/2006/main" xmlns:pic="http://schemas.openxmlformats.org/drawingml/2006/picture">
            <wp:extent cx="5112000" cy="2877005"/>
            <wp:docPr id="14" name="Picture 14"/>
            <wp:cNvGraphicFramePr>
              <a:graphicFrameLocks noChangeAspect="1"/>
            </wp:cNvGraphicFramePr>
            <a:graphic>
              <a:graphicData uri="http://schemas.openxmlformats.org/drawingml/2006/picture">
                <pic:pic>
                  <pic:nvPicPr>
                    <pic:cNvPr id="0" name="figure_4_11_audit_logs.png"/>
                    <pic:cNvPicPr/>
                  </pic:nvPicPr>
                  <pic:blipFill>
                    <a:blip r:embed="rId24"/>
                    <a:stretch>
                      <a:fillRect/>
                    </a:stretch>
                  </pic:blipFill>
                  <pic:spPr>
                    <a:xfrm>
                      <a:off x="0" y="0"/>
                      <a:ext cx="5112000" cy="2877005"/>
                    </a:xfrm>
                    <a:prstGeom prst="rect"/>
                  </pic:spPr>
                </pic:pic>
              </a:graphicData>
            </a:graphic>
          </wp:inline>
        </w:drawing>
      </w:r>
    </w:p>
    <w:p>
      <w:pPr>
        <w:pStyle w:val="FigureCaption"/>
      </w:pPr>
      <w:r>
        <w:t>Figure 4.14: Audit-log interface</w:t>
      </w:r>
    </w:p>
    <w:p>
      <w:r>
        <w:t>Audit logs record authentication and operational actions with user, role, module, description, status, and time. This supports traceability and assists in identifying unauthorized or failed activity.</w:t>
      </w:r>
    </w:p>
    <w:p>
      <w:pPr>
        <w:spacing w:before="120"/>
        <w:ind w:firstLine="0"/>
        <w:jc w:val="center"/>
      </w:pPr>
      <w:r>
        <w:drawing>
          <wp:inline xmlns:a="http://schemas.openxmlformats.org/drawingml/2006/main" xmlns:pic="http://schemas.openxmlformats.org/drawingml/2006/picture">
            <wp:extent cx="5112000" cy="2877005"/>
            <wp:docPr id="15" name="Picture 15"/>
            <wp:cNvGraphicFramePr>
              <a:graphicFrameLocks noChangeAspect="1"/>
            </wp:cNvGraphicFramePr>
            <a:graphic>
              <a:graphicData uri="http://schemas.openxmlformats.org/drawingml/2006/picture">
                <pic:pic>
                  <pic:nvPicPr>
                    <pic:cNvPr id="0" name="figure_4_05_dataset_manager.png"/>
                    <pic:cNvPicPr/>
                  </pic:nvPicPr>
                  <pic:blipFill>
                    <a:blip r:embed="rId25"/>
                    <a:stretch>
                      <a:fillRect/>
                    </a:stretch>
                  </pic:blipFill>
                  <pic:spPr>
                    <a:xfrm>
                      <a:off x="0" y="0"/>
                      <a:ext cx="5112000" cy="2877005"/>
                    </a:xfrm>
                    <a:prstGeom prst="rect"/>
                  </pic:spPr>
                </pic:pic>
              </a:graphicData>
            </a:graphic>
          </wp:inline>
        </w:drawing>
      </w:r>
    </w:p>
    <w:p>
      <w:pPr>
        <w:pStyle w:val="FigureCaption"/>
      </w:pPr>
      <w:r>
        <w:t>Figure 4.16: Dataset Manager workspace</w:t>
      </w:r>
    </w:p>
    <w:p>
      <w:r>
        <w:t>The restricted Dataset Manager workspace showed 162 collected records: 75 crime-related and 87 not crime-related. It provides source filtering and CSV/Excel export while excluding administrator and investigation controls.</w:t>
      </w:r>
    </w:p>
    <w:p>
      <w:pPr>
        <w:spacing w:before="120"/>
        <w:ind w:firstLine="0"/>
        <w:jc w:val="center"/>
      </w:pPr>
      <w:r>
        <w:drawing>
          <wp:inline xmlns:a="http://schemas.openxmlformats.org/drawingml/2006/main" xmlns:pic="http://schemas.openxmlformats.org/drawingml/2006/picture">
            <wp:extent cx="5112000" cy="2877005"/>
            <wp:docPr id="16" name="Picture 16"/>
            <wp:cNvGraphicFramePr>
              <a:graphicFrameLocks noChangeAspect="1"/>
            </wp:cNvGraphicFramePr>
            <a:graphic>
              <a:graphicData uri="http://schemas.openxmlformats.org/drawingml/2006/picture">
                <pic:pic>
                  <pic:nvPicPr>
                    <pic:cNvPr id="0" name="figure_4_12_profile.png"/>
                    <pic:cNvPicPr/>
                  </pic:nvPicPr>
                  <pic:blipFill>
                    <a:blip r:embed="rId26"/>
                    <a:stretch>
                      <a:fillRect/>
                    </a:stretch>
                  </pic:blipFill>
                  <pic:spPr>
                    <a:xfrm>
                      <a:off x="0" y="0"/>
                      <a:ext cx="5112000" cy="2877005"/>
                    </a:xfrm>
                    <a:prstGeom prst="rect"/>
                  </pic:spPr>
                </pic:pic>
              </a:graphicData>
            </a:graphic>
          </wp:inline>
        </w:drawing>
      </w:r>
    </w:p>
    <w:p>
      <w:pPr>
        <w:pStyle w:val="FigureCaption"/>
      </w:pPr>
      <w:r>
        <w:t>Figure 4.17: User profile interface</w:t>
      </w:r>
    </w:p>
    <w:p>
      <w:r>
        <w:t>The profile interface centralizes personal identity and account information. Keeping profile management separate from user administration allows users to manage their own details without gaining authority over other accounts.</w:t>
      </w:r>
    </w:p>
    <w:p>
      <w:pPr>
        <w:spacing w:before="120"/>
        <w:ind w:firstLine="0"/>
        <w:jc w:val="center"/>
      </w:pPr>
      <w:r>
        <w:drawing>
          <wp:inline xmlns:a="http://schemas.openxmlformats.org/drawingml/2006/main" xmlns:pic="http://schemas.openxmlformats.org/drawingml/2006/picture">
            <wp:extent cx="5112000" cy="2877005"/>
            <wp:docPr id="17" name="Picture 17"/>
            <wp:cNvGraphicFramePr>
              <a:graphicFrameLocks noChangeAspect="1"/>
            </wp:cNvGraphicFramePr>
            <a:graphic>
              <a:graphicData uri="http://schemas.openxmlformats.org/drawingml/2006/picture">
                <pic:pic>
                  <pic:nvPicPr>
                    <pic:cNvPr id="0" name="figure_4_13_settings.png"/>
                    <pic:cNvPicPr/>
                  </pic:nvPicPr>
                  <pic:blipFill>
                    <a:blip r:embed="rId27"/>
                    <a:stretch>
                      <a:fillRect/>
                    </a:stretch>
                  </pic:blipFill>
                  <pic:spPr>
                    <a:xfrm>
                      <a:off x="0" y="0"/>
                      <a:ext cx="5112000" cy="2877005"/>
                    </a:xfrm>
                    <a:prstGeom prst="rect"/>
                  </pic:spPr>
                </pic:pic>
              </a:graphicData>
            </a:graphic>
          </wp:inline>
        </w:drawing>
      </w:r>
    </w:p>
    <w:p>
      <w:pPr>
        <w:pStyle w:val="FigureCaption"/>
      </w:pPr>
      <w:r>
        <w:t>Figure 4.18: User settings interface</w:t>
      </w:r>
    </w:p>
    <w:p>
      <w:r>
        <w:t>Settings provide theme, notification, password, and preference controls. These non-core options improve practical adoption while remaining subordinate to server-side security policy.</w:t>
      </w:r>
    </w:p>
    <w:p>
      <w:pPr>
        <w:pStyle w:val="Heading1"/>
      </w:pPr>
      <w:r>
        <w:t>4.7 Database Implementation and Observed Outputs</w:t>
      </w:r>
    </w:p>
    <w:p>
      <w:r>
        <w:t>MongoDB was implemented through Mongoose schemas that represent users, analysis history, blacklist items, investigation cases, investigation reports, notifications, and activity logs. Document storage is appropriate because analysis records contain variable-length text, keyword arrays, extracted locations, source-specific metadata, confidence values, and optional links to cases. Referential identifiers connect users to records and cases to reports, while date and status fields enable dashboard aggregation.</w:t>
      </w:r>
    </w:p>
    <w:p>
      <w:pPr>
        <w:spacing w:line="240" w:lineRule="auto" w:after="80"/>
      </w:pPr>
      <w:r>
        <w:rPr>
          <w:rFonts w:ascii="Times New Roman" w:hAnsi="Times New Roman"/>
          <w:b/>
          <w:sz w:val="22"/>
        </w:rPr>
        <w:t>Table 4.5: Principal database entities</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1814"/>
            <w:vAlign w:val="center"/>
            <w:shd w:fill="D9EAF7"/>
          </w:tcPr>
          <w:p>
            <w:pPr>
              <w:spacing w:line="240" w:lineRule="auto" w:after="0"/>
            </w:pPr>
            <w:r/>
            <w:r>
              <w:rPr>
                <w:rFonts w:ascii="Times New Roman" w:hAnsi="Times New Roman"/>
                <w:b/>
                <w:sz w:val="20"/>
              </w:rPr>
              <w:t>Entity</w:t>
            </w:r>
          </w:p>
        </w:tc>
        <w:tc>
          <w:tcPr>
            <w:tcW w:type="dxa" w:w="4422"/>
            <w:vAlign w:val="center"/>
            <w:shd w:fill="D9EAF7"/>
          </w:tcPr>
          <w:p>
            <w:pPr>
              <w:spacing w:line="240" w:lineRule="auto" w:after="0"/>
            </w:pPr>
            <w:r/>
            <w:r>
              <w:rPr>
                <w:rFonts w:ascii="Times New Roman" w:hAnsi="Times New Roman"/>
                <w:b/>
                <w:sz w:val="20"/>
              </w:rPr>
              <w:t>Representative stored fields</w:t>
            </w:r>
          </w:p>
        </w:tc>
        <w:tc>
          <w:tcPr>
            <w:tcW w:type="dxa" w:w="1984"/>
            <w:vAlign w:val="center"/>
            <w:shd w:fill="D9EAF7"/>
          </w:tcPr>
          <w:p>
            <w:pPr>
              <w:spacing w:line="240" w:lineRule="auto" w:after="0"/>
            </w:pPr>
            <w:r/>
            <w:r>
              <w:rPr>
                <w:rFonts w:ascii="Times New Roman" w:hAnsi="Times New Roman"/>
                <w:b/>
                <w:sz w:val="20"/>
              </w:rPr>
              <w:t>Operational use</w:t>
            </w:r>
          </w:p>
        </w:tc>
      </w:tr>
      <w:tr>
        <w:tc>
          <w:tcPr>
            <w:tcW w:type="dxa" w:w="1814"/>
            <w:vAlign w:val="center"/>
          </w:tcPr>
          <w:p>
            <w:pPr>
              <w:spacing w:line="240" w:lineRule="auto" w:after="0"/>
            </w:pPr>
            <w:r/>
            <w:r>
              <w:rPr>
                <w:rFonts w:ascii="Times New Roman" w:hAnsi="Times New Roman"/>
                <w:b w:val="0"/>
                <w:sz w:val="20"/>
              </w:rPr>
              <w:t>User</w:t>
            </w:r>
          </w:p>
        </w:tc>
        <w:tc>
          <w:tcPr>
            <w:tcW w:type="dxa" w:w="4422"/>
            <w:vAlign w:val="center"/>
          </w:tcPr>
          <w:p>
            <w:pPr>
              <w:spacing w:line="240" w:lineRule="auto" w:after="0"/>
            </w:pPr>
            <w:r/>
            <w:r>
              <w:rPr>
                <w:rFonts w:ascii="Times New Roman" w:hAnsi="Times New Roman"/>
                <w:b w:val="0"/>
                <w:sz w:val="20"/>
              </w:rPr>
              <w:t>name, email, password hash, role, status, verification, session identifier</w:t>
            </w:r>
          </w:p>
        </w:tc>
        <w:tc>
          <w:tcPr>
            <w:tcW w:type="dxa" w:w="1984"/>
            <w:vAlign w:val="center"/>
          </w:tcPr>
          <w:p>
            <w:pPr>
              <w:spacing w:line="240" w:lineRule="auto" w:after="0"/>
            </w:pPr>
            <w:r/>
            <w:r>
              <w:rPr>
                <w:rFonts w:ascii="Times New Roman" w:hAnsi="Times New Roman"/>
                <w:b w:val="0"/>
                <w:sz w:val="20"/>
              </w:rPr>
              <w:t>Authentication and RBAC</w:t>
            </w:r>
          </w:p>
        </w:tc>
      </w:tr>
      <w:tr>
        <w:tc>
          <w:tcPr>
            <w:tcW w:type="dxa" w:w="1814"/>
            <w:vAlign w:val="center"/>
          </w:tcPr>
          <w:p>
            <w:pPr>
              <w:spacing w:line="240" w:lineRule="auto" w:after="0"/>
            </w:pPr>
            <w:r/>
            <w:r>
              <w:rPr>
                <w:rFonts w:ascii="Times New Roman" w:hAnsi="Times New Roman"/>
                <w:b w:val="0"/>
                <w:sz w:val="20"/>
              </w:rPr>
              <w:t>History</w:t>
            </w:r>
          </w:p>
        </w:tc>
        <w:tc>
          <w:tcPr>
            <w:tcW w:type="dxa" w:w="4422"/>
            <w:vAlign w:val="center"/>
          </w:tcPr>
          <w:p>
            <w:pPr>
              <w:spacing w:line="240" w:lineRule="auto" w:after="0"/>
            </w:pPr>
            <w:r/>
            <w:r>
              <w:rPr>
                <w:rFonts w:ascii="Times New Roman" w:hAnsi="Times New Roman"/>
                <w:b w:val="0"/>
                <w:sz w:val="20"/>
              </w:rPr>
              <w:t>input type, text/source, prediction, confidence, keywords, locations, user, time</w:t>
            </w:r>
          </w:p>
        </w:tc>
        <w:tc>
          <w:tcPr>
            <w:tcW w:type="dxa" w:w="1984"/>
            <w:vAlign w:val="center"/>
          </w:tcPr>
          <w:p>
            <w:pPr>
              <w:spacing w:line="240" w:lineRule="auto" w:after="0"/>
            </w:pPr>
            <w:r/>
            <w:r>
              <w:rPr>
                <w:rFonts w:ascii="Times New Roman" w:hAnsi="Times New Roman"/>
                <w:b w:val="0"/>
                <w:sz w:val="20"/>
              </w:rPr>
              <w:t>Traceable analysis record</w:t>
            </w:r>
          </w:p>
        </w:tc>
      </w:tr>
      <w:tr>
        <w:tc>
          <w:tcPr>
            <w:tcW w:type="dxa" w:w="1814"/>
            <w:vAlign w:val="center"/>
          </w:tcPr>
          <w:p>
            <w:pPr>
              <w:spacing w:line="240" w:lineRule="auto" w:after="0"/>
            </w:pPr>
            <w:r/>
            <w:r>
              <w:rPr>
                <w:rFonts w:ascii="Times New Roman" w:hAnsi="Times New Roman"/>
                <w:b w:val="0"/>
                <w:sz w:val="20"/>
              </w:rPr>
              <w:t>InvestigationCase</w:t>
            </w:r>
          </w:p>
        </w:tc>
        <w:tc>
          <w:tcPr>
            <w:tcW w:type="dxa" w:w="4422"/>
            <w:vAlign w:val="center"/>
          </w:tcPr>
          <w:p>
            <w:pPr>
              <w:spacing w:line="240" w:lineRule="auto" w:after="0"/>
            </w:pPr>
            <w:r/>
            <w:r>
              <w:rPr>
                <w:rFonts w:ascii="Times New Roman" w:hAnsi="Times New Roman"/>
                <w:b w:val="0"/>
                <w:sz w:val="20"/>
              </w:rPr>
              <w:t>source, report text, assigned officer, status, verdict, notes, timestamps</w:t>
            </w:r>
          </w:p>
        </w:tc>
        <w:tc>
          <w:tcPr>
            <w:tcW w:type="dxa" w:w="1984"/>
            <w:vAlign w:val="center"/>
          </w:tcPr>
          <w:p>
            <w:pPr>
              <w:spacing w:line="240" w:lineRule="auto" w:after="0"/>
            </w:pPr>
            <w:r/>
            <w:r>
              <w:rPr>
                <w:rFonts w:ascii="Times New Roman" w:hAnsi="Times New Roman"/>
                <w:b w:val="0"/>
                <w:sz w:val="20"/>
              </w:rPr>
              <w:t>Case lifecycle</w:t>
            </w:r>
          </w:p>
        </w:tc>
      </w:tr>
      <w:tr>
        <w:tc>
          <w:tcPr>
            <w:tcW w:type="dxa" w:w="1814"/>
            <w:vAlign w:val="center"/>
          </w:tcPr>
          <w:p>
            <w:pPr>
              <w:spacing w:line="240" w:lineRule="auto" w:after="0"/>
            </w:pPr>
            <w:r/>
            <w:r>
              <w:rPr>
                <w:rFonts w:ascii="Times New Roman" w:hAnsi="Times New Roman"/>
                <w:b w:val="0"/>
                <w:sz w:val="20"/>
              </w:rPr>
              <w:t>InvestigationReport</w:t>
            </w:r>
          </w:p>
        </w:tc>
        <w:tc>
          <w:tcPr>
            <w:tcW w:type="dxa" w:w="4422"/>
            <w:vAlign w:val="center"/>
          </w:tcPr>
          <w:p>
            <w:pPr>
              <w:spacing w:line="240" w:lineRule="auto" w:after="0"/>
            </w:pPr>
            <w:r/>
            <w:r>
              <w:rPr>
                <w:rFonts w:ascii="Times New Roman" w:hAnsi="Times New Roman"/>
                <w:b w:val="0"/>
                <w:sz w:val="20"/>
              </w:rPr>
              <w:t>case reference, findings, conclusion, author and review metadata</w:t>
            </w:r>
          </w:p>
        </w:tc>
        <w:tc>
          <w:tcPr>
            <w:tcW w:type="dxa" w:w="1984"/>
            <w:vAlign w:val="center"/>
          </w:tcPr>
          <w:p>
            <w:pPr>
              <w:spacing w:line="240" w:lineRule="auto" w:after="0"/>
            </w:pPr>
            <w:r/>
            <w:r>
              <w:rPr>
                <w:rFonts w:ascii="Times New Roman" w:hAnsi="Times New Roman"/>
                <w:b w:val="0"/>
                <w:sz w:val="20"/>
              </w:rPr>
              <w:t>Formal investigative output</w:t>
            </w:r>
          </w:p>
        </w:tc>
      </w:tr>
      <w:tr>
        <w:tc>
          <w:tcPr>
            <w:tcW w:type="dxa" w:w="1814"/>
            <w:vAlign w:val="center"/>
          </w:tcPr>
          <w:p>
            <w:pPr>
              <w:spacing w:line="240" w:lineRule="auto" w:after="0"/>
            </w:pPr>
            <w:r/>
            <w:r>
              <w:rPr>
                <w:rFonts w:ascii="Times New Roman" w:hAnsi="Times New Roman"/>
                <w:b w:val="0"/>
                <w:sz w:val="20"/>
              </w:rPr>
              <w:t>BlacklistItem</w:t>
            </w:r>
          </w:p>
        </w:tc>
        <w:tc>
          <w:tcPr>
            <w:tcW w:type="dxa" w:w="4422"/>
            <w:vAlign w:val="center"/>
          </w:tcPr>
          <w:p>
            <w:pPr>
              <w:spacing w:line="240" w:lineRule="auto" w:after="0"/>
            </w:pPr>
            <w:r/>
            <w:r>
              <w:rPr>
                <w:rFonts w:ascii="Times New Roman" w:hAnsi="Times New Roman"/>
                <w:b w:val="0"/>
                <w:sz w:val="20"/>
              </w:rPr>
              <w:t>name, type, URL/value, status and match metadata</w:t>
            </w:r>
          </w:p>
        </w:tc>
        <w:tc>
          <w:tcPr>
            <w:tcW w:type="dxa" w:w="1984"/>
            <w:vAlign w:val="center"/>
          </w:tcPr>
          <w:p>
            <w:pPr>
              <w:spacing w:line="240" w:lineRule="auto" w:after="0"/>
            </w:pPr>
            <w:r/>
            <w:r>
              <w:rPr>
                <w:rFonts w:ascii="Times New Roman" w:hAnsi="Times New Roman"/>
                <w:b w:val="0"/>
                <w:sz w:val="20"/>
              </w:rPr>
              <w:t>Priority monitoring</w:t>
            </w:r>
          </w:p>
        </w:tc>
      </w:tr>
      <w:tr>
        <w:tc>
          <w:tcPr>
            <w:tcW w:type="dxa" w:w="1814"/>
            <w:vAlign w:val="center"/>
          </w:tcPr>
          <w:p>
            <w:pPr>
              <w:spacing w:line="240" w:lineRule="auto" w:after="0"/>
            </w:pPr>
            <w:r/>
            <w:r>
              <w:rPr>
                <w:rFonts w:ascii="Times New Roman" w:hAnsi="Times New Roman"/>
                <w:b w:val="0"/>
                <w:sz w:val="20"/>
              </w:rPr>
              <w:t>Notification</w:t>
            </w:r>
          </w:p>
        </w:tc>
        <w:tc>
          <w:tcPr>
            <w:tcW w:type="dxa" w:w="4422"/>
            <w:vAlign w:val="center"/>
          </w:tcPr>
          <w:p>
            <w:pPr>
              <w:spacing w:line="240" w:lineRule="auto" w:after="0"/>
            </w:pPr>
            <w:r/>
            <w:r>
              <w:rPr>
                <w:rFonts w:ascii="Times New Roman" w:hAnsi="Times New Roman"/>
                <w:b w:val="0"/>
                <w:sz w:val="20"/>
              </w:rPr>
              <w:t>recipient, type, message, read state and linked resource</w:t>
            </w:r>
          </w:p>
        </w:tc>
        <w:tc>
          <w:tcPr>
            <w:tcW w:type="dxa" w:w="1984"/>
            <w:vAlign w:val="center"/>
          </w:tcPr>
          <w:p>
            <w:pPr>
              <w:spacing w:line="240" w:lineRule="auto" w:after="0"/>
            </w:pPr>
            <w:r/>
            <w:r>
              <w:rPr>
                <w:rFonts w:ascii="Times New Roman" w:hAnsi="Times New Roman"/>
                <w:b w:val="0"/>
                <w:sz w:val="20"/>
              </w:rPr>
              <w:t>Operational awareness</w:t>
            </w:r>
          </w:p>
        </w:tc>
      </w:tr>
      <w:tr>
        <w:tc>
          <w:tcPr>
            <w:tcW w:type="dxa" w:w="1814"/>
            <w:vAlign w:val="center"/>
          </w:tcPr>
          <w:p>
            <w:pPr>
              <w:spacing w:line="240" w:lineRule="auto" w:after="0"/>
            </w:pPr>
            <w:r/>
            <w:r>
              <w:rPr>
                <w:rFonts w:ascii="Times New Roman" w:hAnsi="Times New Roman"/>
                <w:b w:val="0"/>
                <w:sz w:val="20"/>
              </w:rPr>
              <w:t>ActivityLog</w:t>
            </w:r>
          </w:p>
        </w:tc>
        <w:tc>
          <w:tcPr>
            <w:tcW w:type="dxa" w:w="4422"/>
            <w:vAlign w:val="center"/>
          </w:tcPr>
          <w:p>
            <w:pPr>
              <w:spacing w:line="240" w:lineRule="auto" w:after="0"/>
            </w:pPr>
            <w:r/>
            <w:r>
              <w:rPr>
                <w:rFonts w:ascii="Times New Roman" w:hAnsi="Times New Roman"/>
                <w:b w:val="0"/>
                <w:sz w:val="20"/>
              </w:rPr>
              <w:t>actor, role, action, module, description, status, time and request metadata</w:t>
            </w:r>
          </w:p>
        </w:tc>
        <w:tc>
          <w:tcPr>
            <w:tcW w:type="dxa" w:w="1984"/>
            <w:vAlign w:val="center"/>
          </w:tcPr>
          <w:p>
            <w:pPr>
              <w:spacing w:line="240" w:lineRule="auto" w:after="0"/>
            </w:pPr>
            <w:r/>
            <w:r>
              <w:rPr>
                <w:rFonts w:ascii="Times New Roman" w:hAnsi="Times New Roman"/>
                <w:b w:val="0"/>
                <w:sz w:val="20"/>
              </w:rPr>
              <w:t>Security and auditability</w:t>
            </w:r>
          </w:p>
        </w:tc>
      </w:tr>
    </w:tbl>
    <w:p>
      <w:pPr>
        <w:spacing w:after="0"/>
      </w:pPr>
    </w:p>
    <w:p>
      <w:r>
        <w:t>Live database output was observable in the Dataset Manager table and administrator dashboard. At the time of capture, the Dataset Manager reported 162 records, of which 75 were crime-related and 87 were not crime-related. The administrator dashboard independently reported 103 analysis-history records and 39 active cases. The difference is expected because the dataset workspace consolidates records from analysis, Facebook monitoring, and website monitoring, whereas a dashboard KPI may apply a narrower collection or time/source rule. This distinction demonstrates why metric definitions must be retained with each aggregation.</w:t>
      </w:r>
    </w:p>
    <w:p>
      <w:pPr>
        <w:pStyle w:val="Heading1"/>
      </w:pPr>
      <w:r>
        <w:t>4.8 Testing and Verification</w:t>
      </w:r>
    </w:p>
    <w:p>
      <w:pPr>
        <w:pStyle w:val="Heading2"/>
      </w:pPr>
      <w:r>
        <w:t>4.8.1 Testing Strategy</w:t>
      </w:r>
    </w:p>
    <w:p>
      <w:r>
        <w:t>Testing was conducted at unit, service, integration, functional, security, and usability levels. Unit verification covered Somali crime-rule behaviour. Service verification checked the AI health endpoint and successful loading of the deployed transformer. Integration verification exercised browser-to-API authentication and role navigation. Functional testing used the three supplied role accounts to verify that each role reached the correct workspace. Screenshots provide visible evidence of those outcomes. Security-oriented checks confirmed that protected pages redirected unauthenticated or invalid-session requests to login and that the role navigation differed across administrator, investigator, and Dataset Manager accounts.</w:t>
      </w:r>
    </w:p>
    <w:p>
      <w:pPr>
        <w:spacing w:line="240" w:lineRule="auto" w:after="80"/>
      </w:pPr>
      <w:r>
        <w:rPr>
          <w:rFonts w:ascii="Times New Roman" w:hAnsi="Times New Roman"/>
          <w:b/>
          <w:sz w:val="22"/>
        </w:rPr>
        <w:t>Table 4.6: Representative functional test results</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37"/>
            <w:vAlign w:val="center"/>
            <w:shd w:fill="D9EAF7"/>
          </w:tcPr>
          <w:p>
            <w:pPr>
              <w:spacing w:line="240" w:lineRule="auto" w:after="0"/>
            </w:pPr>
            <w:r/>
            <w:r>
              <w:rPr>
                <w:rFonts w:ascii="Times New Roman" w:hAnsi="Times New Roman"/>
                <w:b/>
                <w:sz w:val="20"/>
              </w:rPr>
              <w:t>ID</w:t>
            </w:r>
          </w:p>
        </w:tc>
        <w:tc>
          <w:tcPr>
            <w:tcW w:type="dxa" w:w="2438"/>
            <w:vAlign w:val="center"/>
            <w:shd w:fill="D9EAF7"/>
          </w:tcPr>
          <w:p>
            <w:pPr>
              <w:spacing w:line="240" w:lineRule="auto" w:after="0"/>
            </w:pPr>
            <w:r/>
            <w:r>
              <w:rPr>
                <w:rFonts w:ascii="Times New Roman" w:hAnsi="Times New Roman"/>
                <w:b/>
                <w:sz w:val="20"/>
              </w:rPr>
              <w:t>Test condition</w:t>
            </w:r>
          </w:p>
        </w:tc>
        <w:tc>
          <w:tcPr>
            <w:tcW w:type="dxa" w:w="2438"/>
            <w:vAlign w:val="center"/>
            <w:shd w:fill="D9EAF7"/>
          </w:tcPr>
          <w:p>
            <w:pPr>
              <w:spacing w:line="240" w:lineRule="auto" w:after="0"/>
            </w:pPr>
            <w:r/>
            <w:r>
              <w:rPr>
                <w:rFonts w:ascii="Times New Roman" w:hAnsi="Times New Roman"/>
                <w:b/>
                <w:sz w:val="20"/>
              </w:rPr>
              <w:t>Expected result</w:t>
            </w:r>
          </w:p>
        </w:tc>
        <w:tc>
          <w:tcPr>
            <w:tcW w:type="dxa" w:w="2438"/>
            <w:vAlign w:val="center"/>
            <w:shd w:fill="D9EAF7"/>
          </w:tcPr>
          <w:p>
            <w:pPr>
              <w:spacing w:line="240" w:lineRule="auto" w:after="0"/>
            </w:pPr>
            <w:r/>
            <w:r>
              <w:rPr>
                <w:rFonts w:ascii="Times New Roman" w:hAnsi="Times New Roman"/>
                <w:b/>
                <w:sz w:val="20"/>
              </w:rPr>
              <w:t>Observed result</w:t>
            </w:r>
          </w:p>
        </w:tc>
        <w:tc>
          <w:tcPr>
            <w:tcW w:type="dxa" w:w="907"/>
            <w:vAlign w:val="center"/>
            <w:shd w:fill="D9EAF7"/>
          </w:tcPr>
          <w:p>
            <w:pPr>
              <w:spacing w:line="240" w:lineRule="auto" w:after="0"/>
            </w:pPr>
            <w:r/>
            <w:r>
              <w:rPr>
                <w:rFonts w:ascii="Times New Roman" w:hAnsi="Times New Roman"/>
                <w:b/>
                <w:sz w:val="20"/>
              </w:rPr>
              <w:t>Status</w:t>
            </w:r>
          </w:p>
        </w:tc>
      </w:tr>
      <w:tr>
        <w:tc>
          <w:tcPr>
            <w:tcW w:type="dxa" w:w="737"/>
            <w:vAlign w:val="center"/>
          </w:tcPr>
          <w:p>
            <w:pPr>
              <w:spacing w:line="240" w:lineRule="auto" w:after="0"/>
            </w:pPr>
            <w:r/>
            <w:r>
              <w:rPr>
                <w:rFonts w:ascii="Times New Roman" w:hAnsi="Times New Roman"/>
                <w:b w:val="0"/>
                <w:sz w:val="20"/>
              </w:rPr>
              <w:t>T01</w:t>
            </w:r>
          </w:p>
        </w:tc>
        <w:tc>
          <w:tcPr>
            <w:tcW w:type="dxa" w:w="2438"/>
            <w:vAlign w:val="center"/>
          </w:tcPr>
          <w:p>
            <w:pPr>
              <w:spacing w:line="240" w:lineRule="auto" w:after="0"/>
            </w:pPr>
            <w:r/>
            <w:r>
              <w:rPr>
                <w:rFonts w:ascii="Times New Roman" w:hAnsi="Times New Roman"/>
                <w:b w:val="0"/>
                <w:sz w:val="20"/>
              </w:rPr>
              <w:t>Valid administrator credentials</w:t>
            </w:r>
          </w:p>
        </w:tc>
        <w:tc>
          <w:tcPr>
            <w:tcW w:type="dxa" w:w="2438"/>
            <w:vAlign w:val="center"/>
          </w:tcPr>
          <w:p>
            <w:pPr>
              <w:spacing w:line="240" w:lineRule="auto" w:after="0"/>
            </w:pPr>
            <w:r/>
            <w:r>
              <w:rPr>
                <w:rFonts w:ascii="Times New Roman" w:hAnsi="Times New Roman"/>
                <w:b w:val="0"/>
                <w:sz w:val="20"/>
              </w:rPr>
              <w:t>Dashboard and administrator navigation are displayed</w:t>
            </w:r>
          </w:p>
        </w:tc>
        <w:tc>
          <w:tcPr>
            <w:tcW w:type="dxa" w:w="2438"/>
            <w:vAlign w:val="center"/>
          </w:tcPr>
          <w:p>
            <w:pPr>
              <w:spacing w:line="240" w:lineRule="auto" w:after="0"/>
            </w:pPr>
            <w:r/>
            <w:r>
              <w:rPr>
                <w:rFonts w:ascii="Times New Roman" w:hAnsi="Times New Roman"/>
                <w:b w:val="0"/>
                <w:sz w:val="20"/>
              </w:rPr>
              <w:t>Dashboard loaded with KPIs and administrator modules</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T02</w:t>
            </w:r>
          </w:p>
        </w:tc>
        <w:tc>
          <w:tcPr>
            <w:tcW w:type="dxa" w:w="2438"/>
            <w:vAlign w:val="center"/>
          </w:tcPr>
          <w:p>
            <w:pPr>
              <w:spacing w:line="240" w:lineRule="auto" w:after="0"/>
            </w:pPr>
            <w:r/>
            <w:r>
              <w:rPr>
                <w:rFonts w:ascii="Times New Roman" w:hAnsi="Times New Roman"/>
                <w:b w:val="0"/>
                <w:sz w:val="20"/>
              </w:rPr>
              <w:t>Valid investigator credentials</w:t>
            </w:r>
          </w:p>
        </w:tc>
        <w:tc>
          <w:tcPr>
            <w:tcW w:type="dxa" w:w="2438"/>
            <w:vAlign w:val="center"/>
          </w:tcPr>
          <w:p>
            <w:pPr>
              <w:spacing w:line="240" w:lineRule="auto" w:after="0"/>
            </w:pPr>
            <w:r/>
            <w:r>
              <w:rPr>
                <w:rFonts w:ascii="Times New Roman" w:hAnsi="Times New Roman"/>
                <w:b w:val="0"/>
                <w:sz w:val="20"/>
              </w:rPr>
              <w:t>Investigator is routed to case workspace</w:t>
            </w:r>
          </w:p>
        </w:tc>
        <w:tc>
          <w:tcPr>
            <w:tcW w:type="dxa" w:w="2438"/>
            <w:vAlign w:val="center"/>
          </w:tcPr>
          <w:p>
            <w:pPr>
              <w:spacing w:line="240" w:lineRule="auto" w:after="0"/>
            </w:pPr>
            <w:r/>
            <w:r>
              <w:rPr>
                <w:rFonts w:ascii="Times New Roman" w:hAnsi="Times New Roman"/>
                <w:b w:val="0"/>
                <w:sz w:val="20"/>
              </w:rPr>
              <w:t>Case workspace loaded with investigator-only navigation</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T03</w:t>
            </w:r>
          </w:p>
        </w:tc>
        <w:tc>
          <w:tcPr>
            <w:tcW w:type="dxa" w:w="2438"/>
            <w:vAlign w:val="center"/>
          </w:tcPr>
          <w:p>
            <w:pPr>
              <w:spacing w:line="240" w:lineRule="auto" w:after="0"/>
            </w:pPr>
            <w:r/>
            <w:r>
              <w:rPr>
                <w:rFonts w:ascii="Times New Roman" w:hAnsi="Times New Roman"/>
                <w:b w:val="0"/>
                <w:sz w:val="20"/>
              </w:rPr>
              <w:t>Valid Dataset Manager credentials</w:t>
            </w:r>
          </w:p>
        </w:tc>
        <w:tc>
          <w:tcPr>
            <w:tcW w:type="dxa" w:w="2438"/>
            <w:vAlign w:val="center"/>
          </w:tcPr>
          <w:p>
            <w:pPr>
              <w:spacing w:line="240" w:lineRule="auto" w:after="0"/>
            </w:pPr>
            <w:r/>
            <w:r>
              <w:rPr>
                <w:rFonts w:ascii="Times New Roman" w:hAnsi="Times New Roman"/>
                <w:b w:val="0"/>
                <w:sz w:val="20"/>
              </w:rPr>
              <w:t>Private dataset workspace is displayed</w:t>
            </w:r>
          </w:p>
        </w:tc>
        <w:tc>
          <w:tcPr>
            <w:tcW w:type="dxa" w:w="2438"/>
            <w:vAlign w:val="center"/>
          </w:tcPr>
          <w:p>
            <w:pPr>
              <w:spacing w:line="240" w:lineRule="auto" w:after="0"/>
            </w:pPr>
            <w:r/>
            <w:r>
              <w:rPr>
                <w:rFonts w:ascii="Times New Roman" w:hAnsi="Times New Roman"/>
                <w:b w:val="0"/>
                <w:sz w:val="20"/>
              </w:rPr>
              <w:t>Dataset table, filters and exports loaded</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T04</w:t>
            </w:r>
          </w:p>
        </w:tc>
        <w:tc>
          <w:tcPr>
            <w:tcW w:type="dxa" w:w="2438"/>
            <w:vAlign w:val="center"/>
          </w:tcPr>
          <w:p>
            <w:pPr>
              <w:spacing w:line="240" w:lineRule="auto" w:after="0"/>
            </w:pPr>
            <w:r/>
            <w:r>
              <w:rPr>
                <w:rFonts w:ascii="Times New Roman" w:hAnsi="Times New Roman"/>
                <w:b w:val="0"/>
                <w:sz w:val="20"/>
              </w:rPr>
              <w:t>Invalid password</w:t>
            </w:r>
          </w:p>
        </w:tc>
        <w:tc>
          <w:tcPr>
            <w:tcW w:type="dxa" w:w="2438"/>
            <w:vAlign w:val="center"/>
          </w:tcPr>
          <w:p>
            <w:pPr>
              <w:spacing w:line="240" w:lineRule="auto" w:after="0"/>
            </w:pPr>
            <w:r/>
            <w:r>
              <w:rPr>
                <w:rFonts w:ascii="Times New Roman" w:hAnsi="Times New Roman"/>
                <w:b w:val="0"/>
                <w:sz w:val="20"/>
              </w:rPr>
              <w:t>Access is rejected without protected data</w:t>
            </w:r>
          </w:p>
        </w:tc>
        <w:tc>
          <w:tcPr>
            <w:tcW w:type="dxa" w:w="2438"/>
            <w:vAlign w:val="center"/>
          </w:tcPr>
          <w:p>
            <w:pPr>
              <w:spacing w:line="240" w:lineRule="auto" w:after="0"/>
            </w:pPr>
            <w:r/>
            <w:r>
              <w:rPr>
                <w:rFonts w:ascii="Times New Roman" w:hAnsi="Times New Roman"/>
                <w:b w:val="0"/>
                <w:sz w:val="20"/>
              </w:rPr>
              <w:t>Login failure message displayed</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T05</w:t>
            </w:r>
          </w:p>
        </w:tc>
        <w:tc>
          <w:tcPr>
            <w:tcW w:type="dxa" w:w="2438"/>
            <w:vAlign w:val="center"/>
          </w:tcPr>
          <w:p>
            <w:pPr>
              <w:spacing w:line="240" w:lineRule="auto" w:after="0"/>
            </w:pPr>
            <w:r/>
            <w:r>
              <w:rPr>
                <w:rFonts w:ascii="Times New Roman" w:hAnsi="Times New Roman"/>
                <w:b w:val="0"/>
                <w:sz w:val="20"/>
              </w:rPr>
              <w:t>Guest opens analysis</w:t>
            </w:r>
          </w:p>
        </w:tc>
        <w:tc>
          <w:tcPr>
            <w:tcW w:type="dxa" w:w="2438"/>
            <w:vAlign w:val="center"/>
          </w:tcPr>
          <w:p>
            <w:pPr>
              <w:spacing w:line="240" w:lineRule="auto" w:after="0"/>
            </w:pPr>
            <w:r/>
            <w:r>
              <w:rPr>
                <w:rFonts w:ascii="Times New Roman" w:hAnsi="Times New Roman"/>
                <w:b w:val="0"/>
                <w:sz w:val="20"/>
              </w:rPr>
              <w:t>Limited Somali analysis form is available</w:t>
            </w:r>
          </w:p>
        </w:tc>
        <w:tc>
          <w:tcPr>
            <w:tcW w:type="dxa" w:w="2438"/>
            <w:vAlign w:val="center"/>
          </w:tcPr>
          <w:p>
            <w:pPr>
              <w:spacing w:line="240" w:lineRule="auto" w:after="0"/>
            </w:pPr>
            <w:r/>
            <w:r>
              <w:rPr>
                <w:rFonts w:ascii="Times New Roman" w:hAnsi="Times New Roman"/>
                <w:b w:val="0"/>
                <w:sz w:val="20"/>
              </w:rPr>
              <w:t>Text/URL/File/Batch tabs and guest limit displayed</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T06</w:t>
            </w:r>
          </w:p>
        </w:tc>
        <w:tc>
          <w:tcPr>
            <w:tcW w:type="dxa" w:w="2438"/>
            <w:vAlign w:val="center"/>
          </w:tcPr>
          <w:p>
            <w:pPr>
              <w:spacing w:line="240" w:lineRule="auto" w:after="0"/>
            </w:pPr>
            <w:r/>
            <w:r>
              <w:rPr>
                <w:rFonts w:ascii="Times New Roman" w:hAnsi="Times New Roman"/>
                <w:b w:val="0"/>
                <w:sz w:val="20"/>
              </w:rPr>
              <w:t>AI service health request</w:t>
            </w:r>
          </w:p>
        </w:tc>
        <w:tc>
          <w:tcPr>
            <w:tcW w:type="dxa" w:w="2438"/>
            <w:vAlign w:val="center"/>
          </w:tcPr>
          <w:p>
            <w:pPr>
              <w:spacing w:line="240" w:lineRule="auto" w:after="0"/>
            </w:pPr>
            <w:r/>
            <w:r>
              <w:rPr>
                <w:rFonts w:ascii="Times New Roman" w:hAnsi="Times New Roman"/>
                <w:b w:val="0"/>
                <w:sz w:val="20"/>
              </w:rPr>
              <w:t>Active model is loaded</w:t>
            </w:r>
          </w:p>
        </w:tc>
        <w:tc>
          <w:tcPr>
            <w:tcW w:type="dxa" w:w="2438"/>
            <w:vAlign w:val="center"/>
          </w:tcPr>
          <w:p>
            <w:pPr>
              <w:spacing w:line="240" w:lineRule="auto" w:after="0"/>
            </w:pPr>
            <w:r/>
            <w:r>
              <w:rPr>
                <w:rFonts w:ascii="Times New Roman" w:hAnsi="Times New Roman"/>
                <w:b w:val="0"/>
                <w:sz w:val="20"/>
              </w:rPr>
              <w:t>Transformer backend and somberta-b reported healthy</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T07</w:t>
            </w:r>
          </w:p>
        </w:tc>
        <w:tc>
          <w:tcPr>
            <w:tcW w:type="dxa" w:w="2438"/>
            <w:vAlign w:val="center"/>
          </w:tcPr>
          <w:p>
            <w:pPr>
              <w:spacing w:line="240" w:lineRule="auto" w:after="0"/>
            </w:pPr>
            <w:r/>
            <w:r>
              <w:rPr>
                <w:rFonts w:ascii="Times New Roman" w:hAnsi="Times New Roman"/>
                <w:b w:val="0"/>
                <w:sz w:val="20"/>
              </w:rPr>
              <w:t>Protected route with invalid session</w:t>
            </w:r>
          </w:p>
        </w:tc>
        <w:tc>
          <w:tcPr>
            <w:tcW w:type="dxa" w:w="2438"/>
            <w:vAlign w:val="center"/>
          </w:tcPr>
          <w:p>
            <w:pPr>
              <w:spacing w:line="240" w:lineRule="auto" w:after="0"/>
            </w:pPr>
            <w:r/>
            <w:r>
              <w:rPr>
                <w:rFonts w:ascii="Times New Roman" w:hAnsi="Times New Roman"/>
                <w:b w:val="0"/>
                <w:sz w:val="20"/>
              </w:rPr>
              <w:t>User is returned to login</w:t>
            </w:r>
          </w:p>
        </w:tc>
        <w:tc>
          <w:tcPr>
            <w:tcW w:type="dxa" w:w="2438"/>
            <w:vAlign w:val="center"/>
          </w:tcPr>
          <w:p>
            <w:pPr>
              <w:spacing w:line="240" w:lineRule="auto" w:after="0"/>
            </w:pPr>
            <w:r/>
            <w:r>
              <w:rPr>
                <w:rFonts w:ascii="Times New Roman" w:hAnsi="Times New Roman"/>
                <w:b w:val="0"/>
                <w:sz w:val="20"/>
              </w:rPr>
              <w:t>Dashboard/case navigation redirected to login</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T08</w:t>
            </w:r>
          </w:p>
        </w:tc>
        <w:tc>
          <w:tcPr>
            <w:tcW w:type="dxa" w:w="2438"/>
            <w:vAlign w:val="center"/>
          </w:tcPr>
          <w:p>
            <w:pPr>
              <w:spacing w:line="240" w:lineRule="auto" w:after="0"/>
            </w:pPr>
            <w:r/>
            <w:r>
              <w:rPr>
                <w:rFonts w:ascii="Times New Roman" w:hAnsi="Times New Roman"/>
                <w:b w:val="0"/>
                <w:sz w:val="20"/>
              </w:rPr>
              <w:t>Somali crime keyword rules</w:t>
            </w:r>
          </w:p>
        </w:tc>
        <w:tc>
          <w:tcPr>
            <w:tcW w:type="dxa" w:w="2438"/>
            <w:vAlign w:val="center"/>
          </w:tcPr>
          <w:p>
            <w:pPr>
              <w:spacing w:line="240" w:lineRule="auto" w:after="0"/>
            </w:pPr>
            <w:r/>
            <w:r>
              <w:rPr>
                <w:rFonts w:ascii="Times New Roman" w:hAnsi="Times New Roman"/>
                <w:b w:val="0"/>
                <w:sz w:val="20"/>
              </w:rPr>
              <w:t>Known crime expressions are detected</w:t>
            </w:r>
          </w:p>
        </w:tc>
        <w:tc>
          <w:tcPr>
            <w:tcW w:type="dxa" w:w="2438"/>
            <w:vAlign w:val="center"/>
          </w:tcPr>
          <w:p>
            <w:pPr>
              <w:spacing w:line="240" w:lineRule="auto" w:after="0"/>
            </w:pPr>
            <w:r/>
            <w:r>
              <w:rPr>
                <w:rFonts w:ascii="Times New Roman" w:hAnsi="Times New Roman"/>
                <w:b w:val="0"/>
                <w:sz w:val="20"/>
              </w:rPr>
              <w:t>Two automated tests completed successfully</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T09</w:t>
            </w:r>
          </w:p>
        </w:tc>
        <w:tc>
          <w:tcPr>
            <w:tcW w:type="dxa" w:w="2438"/>
            <w:vAlign w:val="center"/>
          </w:tcPr>
          <w:p>
            <w:pPr>
              <w:spacing w:line="240" w:lineRule="auto" w:after="0"/>
            </w:pPr>
            <w:r/>
            <w:r>
              <w:rPr>
                <w:rFonts w:ascii="Times New Roman" w:hAnsi="Times New Roman"/>
                <w:b w:val="0"/>
                <w:sz w:val="20"/>
              </w:rPr>
              <w:t>Dataset filtering/export controls</w:t>
            </w:r>
          </w:p>
        </w:tc>
        <w:tc>
          <w:tcPr>
            <w:tcW w:type="dxa" w:w="2438"/>
            <w:vAlign w:val="center"/>
          </w:tcPr>
          <w:p>
            <w:pPr>
              <w:spacing w:line="240" w:lineRule="auto" w:after="0"/>
            </w:pPr>
            <w:r/>
            <w:r>
              <w:rPr>
                <w:rFonts w:ascii="Times New Roman" w:hAnsi="Times New Roman"/>
                <w:b w:val="0"/>
                <w:sz w:val="20"/>
              </w:rPr>
              <w:t>Manager can select source and export</w:t>
            </w:r>
          </w:p>
        </w:tc>
        <w:tc>
          <w:tcPr>
            <w:tcW w:type="dxa" w:w="2438"/>
            <w:vAlign w:val="center"/>
          </w:tcPr>
          <w:p>
            <w:pPr>
              <w:spacing w:line="240" w:lineRule="auto" w:after="0"/>
            </w:pPr>
            <w:r/>
            <w:r>
              <w:rPr>
                <w:rFonts w:ascii="Times New Roman" w:hAnsi="Times New Roman"/>
                <w:b w:val="0"/>
                <w:sz w:val="20"/>
              </w:rPr>
              <w:t>All sources, Analysis, Facebook and Website filters displayed</w:t>
            </w:r>
          </w:p>
        </w:tc>
        <w:tc>
          <w:tcPr>
            <w:tcW w:type="dxa" w:w="907"/>
            <w:vAlign w:val="center"/>
          </w:tcPr>
          <w:p>
            <w:pPr>
              <w:spacing w:line="240" w:lineRule="auto" w:after="0"/>
            </w:pPr>
            <w:r/>
            <w:r>
              <w:rPr>
                <w:rFonts w:ascii="Times New Roman" w:hAnsi="Times New Roman"/>
                <w:b w:val="0"/>
                <w:sz w:val="20"/>
              </w:rPr>
              <w:t>Pass</w:t>
            </w:r>
          </w:p>
        </w:tc>
      </w:tr>
      <w:tr>
        <w:tc>
          <w:tcPr>
            <w:tcW w:type="dxa" w:w="737"/>
            <w:vAlign w:val="center"/>
          </w:tcPr>
          <w:p>
            <w:pPr>
              <w:spacing w:line="240" w:lineRule="auto" w:after="0"/>
            </w:pPr>
            <w:r/>
            <w:r>
              <w:rPr>
                <w:rFonts w:ascii="Times New Roman" w:hAnsi="Times New Roman"/>
                <w:b w:val="0"/>
                <w:sz w:val="20"/>
              </w:rPr>
              <w:t>T10</w:t>
            </w:r>
          </w:p>
        </w:tc>
        <w:tc>
          <w:tcPr>
            <w:tcW w:type="dxa" w:w="2438"/>
            <w:vAlign w:val="center"/>
          </w:tcPr>
          <w:p>
            <w:pPr>
              <w:spacing w:line="240" w:lineRule="auto" w:after="0"/>
            </w:pPr>
            <w:r/>
            <w:r>
              <w:rPr>
                <w:rFonts w:ascii="Times New Roman" w:hAnsi="Times New Roman"/>
                <w:b w:val="0"/>
                <w:sz w:val="20"/>
              </w:rPr>
              <w:t>Audit visibility</w:t>
            </w:r>
          </w:p>
        </w:tc>
        <w:tc>
          <w:tcPr>
            <w:tcW w:type="dxa" w:w="2438"/>
            <w:vAlign w:val="center"/>
          </w:tcPr>
          <w:p>
            <w:pPr>
              <w:spacing w:line="240" w:lineRule="auto" w:after="0"/>
            </w:pPr>
            <w:r/>
            <w:r>
              <w:rPr>
                <w:rFonts w:ascii="Times New Roman" w:hAnsi="Times New Roman"/>
                <w:b w:val="0"/>
                <w:sz w:val="20"/>
              </w:rPr>
              <w:t>Administrator can review recent activities</w:t>
            </w:r>
          </w:p>
        </w:tc>
        <w:tc>
          <w:tcPr>
            <w:tcW w:type="dxa" w:w="2438"/>
            <w:vAlign w:val="center"/>
          </w:tcPr>
          <w:p>
            <w:pPr>
              <w:spacing w:line="240" w:lineRule="auto" w:after="0"/>
            </w:pPr>
            <w:r/>
            <w:r>
              <w:rPr>
                <w:rFonts w:ascii="Times New Roman" w:hAnsi="Times New Roman"/>
                <w:b w:val="0"/>
                <w:sz w:val="20"/>
              </w:rPr>
              <w:t>Audit table displayed user, role, action, module and status</w:t>
            </w:r>
          </w:p>
        </w:tc>
        <w:tc>
          <w:tcPr>
            <w:tcW w:type="dxa" w:w="907"/>
            <w:vAlign w:val="center"/>
          </w:tcPr>
          <w:p>
            <w:pPr>
              <w:spacing w:line="240" w:lineRule="auto" w:after="0"/>
            </w:pPr>
            <w:r/>
            <w:r>
              <w:rPr>
                <w:rFonts w:ascii="Times New Roman" w:hAnsi="Times New Roman"/>
                <w:b w:val="0"/>
                <w:sz w:val="20"/>
              </w:rPr>
              <w:t>Pass</w:t>
            </w:r>
          </w:p>
        </w:tc>
      </w:tr>
    </w:tbl>
    <w:p>
      <w:pPr>
        <w:spacing w:after="0"/>
      </w:pPr>
    </w:p>
    <w:p>
      <w:r>
        <w:t>The available automated crime-rule test suite executed two tests in 0.008 seconds and returned OK. This is a limited unit suite rather than complete coverage; therefore, the thesis does not claim exhaustive software verification. Nevertheless, the combined unit, health, role, navigation, and live-data checks establish that the main research workflow was operational at the time of evaluation.</w:t>
      </w:r>
    </w:p>
    <w:p>
      <w:pPr>
        <w:pStyle w:val="Heading1"/>
      </w:pPr>
      <w:r>
        <w:t>4.9 Model Training Results</w:t>
      </w:r>
    </w:p>
    <w:p>
      <w:r>
        <w:t>Twelve candidate configurations from classical machine learning, neural networks, and encoder-only transformers were compared on the same binary task. Weighted precision, recall, and F1-score are reported alongside accuracy, while crime-class recall is emphasized because missed crime reports represent the principal domain risk. The final all-model results identify SomBERTa-B as the strongest model, followed by SomBERTa-A. Among classical methods, Linear SVM achieved the highest accuracy, whereas Random Forest achieved slightly higher crime recall.</w:t>
      </w:r>
    </w:p>
    <w:p>
      <w:pPr>
        <w:spacing w:line="240" w:lineRule="auto" w:after="80"/>
      </w:pPr>
      <w:r>
        <w:rPr>
          <w:rFonts w:ascii="Times New Roman" w:hAnsi="Times New Roman"/>
          <w:b/>
          <w:sz w:val="22"/>
        </w:rPr>
        <w:t>Table 4.7: Comparison of candidate classification models</w:t>
      </w:r>
    </w:p>
    <w:tbl>
      <w:tblPr>
        <w:tblStyle w:val="TableGrid"/>
        <w:tblW w:type="auto" w:w="0"/>
        <w:jc w:val="center"/>
        <w:tblLayout w:type="fixed"/>
        <w:tblLook w:firstColumn="1" w:firstRow="1" w:lastColumn="0" w:lastRow="0" w:noHBand="0" w:noVBand="1" w:val="04A0"/>
      </w:tblPr>
      <w:tblGrid>
        <w:gridCol w:w="1215"/>
        <w:gridCol w:w="1215"/>
        <w:gridCol w:w="1215"/>
        <w:gridCol w:w="1215"/>
        <w:gridCol w:w="1215"/>
        <w:gridCol w:w="1215"/>
        <w:gridCol w:w="1215"/>
      </w:tblGrid>
      <w:tr>
        <w:tc>
          <w:tcPr>
            <w:tcW w:type="dxa" w:w="1587"/>
            <w:vAlign w:val="center"/>
            <w:shd w:fill="D9EAF7"/>
          </w:tcPr>
          <w:p>
            <w:pPr>
              <w:spacing w:line="240" w:lineRule="auto" w:after="0"/>
            </w:pPr>
            <w:r/>
            <w:r>
              <w:rPr>
                <w:rFonts w:ascii="Times New Roman" w:hAnsi="Times New Roman"/>
                <w:b/>
                <w:sz w:val="20"/>
              </w:rPr>
              <w:t>Model</w:t>
            </w:r>
          </w:p>
        </w:tc>
        <w:tc>
          <w:tcPr>
            <w:tcW w:type="dxa" w:w="1474"/>
            <w:vAlign w:val="center"/>
            <w:shd w:fill="D9EAF7"/>
          </w:tcPr>
          <w:p>
            <w:pPr>
              <w:spacing w:line="240" w:lineRule="auto" w:after="0"/>
            </w:pPr>
            <w:r/>
            <w:r>
              <w:rPr>
                <w:rFonts w:ascii="Times New Roman" w:hAnsi="Times New Roman"/>
                <w:b/>
                <w:sz w:val="20"/>
              </w:rPr>
              <w:t>Family</w:t>
            </w:r>
          </w:p>
        </w:tc>
        <w:tc>
          <w:tcPr>
            <w:tcW w:type="dxa" w:w="1020"/>
            <w:vAlign w:val="center"/>
            <w:shd w:fill="D9EAF7"/>
          </w:tcPr>
          <w:p>
            <w:pPr>
              <w:spacing w:line="240" w:lineRule="auto" w:after="0"/>
            </w:pPr>
            <w:r/>
            <w:r>
              <w:rPr>
                <w:rFonts w:ascii="Times New Roman" w:hAnsi="Times New Roman"/>
                <w:b/>
                <w:sz w:val="20"/>
              </w:rPr>
              <w:t>Accuracy</w:t>
            </w:r>
          </w:p>
        </w:tc>
        <w:tc>
          <w:tcPr>
            <w:tcW w:type="dxa" w:w="1020"/>
            <w:vAlign w:val="center"/>
            <w:shd w:fill="D9EAF7"/>
          </w:tcPr>
          <w:p>
            <w:pPr>
              <w:spacing w:line="240" w:lineRule="auto" w:after="0"/>
            </w:pPr>
            <w:r/>
            <w:r>
              <w:rPr>
                <w:rFonts w:ascii="Times New Roman" w:hAnsi="Times New Roman"/>
                <w:b/>
                <w:sz w:val="20"/>
              </w:rPr>
              <w:t>Precision</w:t>
            </w:r>
          </w:p>
        </w:tc>
        <w:tc>
          <w:tcPr>
            <w:tcW w:type="dxa" w:w="1020"/>
            <w:vAlign w:val="center"/>
            <w:shd w:fill="D9EAF7"/>
          </w:tcPr>
          <w:p>
            <w:pPr>
              <w:spacing w:line="240" w:lineRule="auto" w:after="0"/>
            </w:pPr>
            <w:r/>
            <w:r>
              <w:rPr>
                <w:rFonts w:ascii="Times New Roman" w:hAnsi="Times New Roman"/>
                <w:b/>
                <w:sz w:val="20"/>
              </w:rPr>
              <w:t>Recall</w:t>
            </w:r>
          </w:p>
        </w:tc>
        <w:tc>
          <w:tcPr>
            <w:tcW w:type="dxa" w:w="907"/>
            <w:vAlign w:val="center"/>
            <w:shd w:fill="D9EAF7"/>
          </w:tcPr>
          <w:p>
            <w:pPr>
              <w:spacing w:line="240" w:lineRule="auto" w:after="0"/>
            </w:pPr>
            <w:r/>
            <w:r>
              <w:rPr>
                <w:rFonts w:ascii="Times New Roman" w:hAnsi="Times New Roman"/>
                <w:b/>
                <w:sz w:val="20"/>
              </w:rPr>
              <w:t>F1</w:t>
            </w:r>
          </w:p>
        </w:tc>
        <w:tc>
          <w:tcPr>
            <w:tcW w:type="dxa" w:w="1134"/>
            <w:vAlign w:val="center"/>
            <w:shd w:fill="D9EAF7"/>
          </w:tcPr>
          <w:p>
            <w:pPr>
              <w:spacing w:line="240" w:lineRule="auto" w:after="0"/>
            </w:pPr>
            <w:r/>
            <w:r>
              <w:rPr>
                <w:rFonts w:ascii="Times New Roman" w:hAnsi="Times New Roman"/>
                <w:b/>
                <w:sz w:val="20"/>
              </w:rPr>
              <w:t>Crime Recall</w:t>
            </w:r>
          </w:p>
        </w:tc>
      </w:tr>
      <w:tr>
        <w:tc>
          <w:tcPr>
            <w:tcW w:type="dxa" w:w="1587"/>
            <w:vAlign w:val="center"/>
          </w:tcPr>
          <w:p>
            <w:pPr>
              <w:spacing w:line="240" w:lineRule="auto" w:after="0"/>
            </w:pPr>
            <w:r/>
            <w:r>
              <w:rPr>
                <w:rFonts w:ascii="Times New Roman" w:hAnsi="Times New Roman"/>
                <w:b w:val="0"/>
                <w:sz w:val="20"/>
              </w:rPr>
              <w:t>SomBERTa-B</w:t>
            </w:r>
          </w:p>
        </w:tc>
        <w:tc>
          <w:tcPr>
            <w:tcW w:type="dxa" w:w="1474"/>
            <w:vAlign w:val="center"/>
          </w:tcPr>
          <w:p>
            <w:pPr>
              <w:spacing w:line="240" w:lineRule="auto" w:after="0"/>
            </w:pPr>
            <w:r/>
            <w:r>
              <w:rPr>
                <w:rFonts w:ascii="Times New Roman" w:hAnsi="Times New Roman"/>
                <w:b w:val="0"/>
                <w:sz w:val="20"/>
              </w:rPr>
              <w:t>Transformer</w:t>
            </w:r>
          </w:p>
        </w:tc>
        <w:tc>
          <w:tcPr>
            <w:tcW w:type="dxa" w:w="1020"/>
            <w:vAlign w:val="center"/>
          </w:tcPr>
          <w:p>
            <w:pPr>
              <w:spacing w:line="240" w:lineRule="auto" w:after="0"/>
            </w:pPr>
            <w:r/>
            <w:r>
              <w:rPr>
                <w:rFonts w:ascii="Times New Roman" w:hAnsi="Times New Roman"/>
                <w:b w:val="0"/>
                <w:sz w:val="20"/>
              </w:rPr>
              <w:t>94.63%</w:t>
            </w:r>
          </w:p>
        </w:tc>
        <w:tc>
          <w:tcPr>
            <w:tcW w:type="dxa" w:w="1020"/>
            <w:vAlign w:val="center"/>
          </w:tcPr>
          <w:p>
            <w:pPr>
              <w:spacing w:line="240" w:lineRule="auto" w:after="0"/>
            </w:pPr>
            <w:r/>
            <w:r>
              <w:rPr>
                <w:rFonts w:ascii="Times New Roman" w:hAnsi="Times New Roman"/>
                <w:b w:val="0"/>
                <w:sz w:val="20"/>
              </w:rPr>
              <w:t>94.69%</w:t>
            </w:r>
          </w:p>
        </w:tc>
        <w:tc>
          <w:tcPr>
            <w:tcW w:type="dxa" w:w="1020"/>
            <w:vAlign w:val="center"/>
          </w:tcPr>
          <w:p>
            <w:pPr>
              <w:spacing w:line="240" w:lineRule="auto" w:after="0"/>
            </w:pPr>
            <w:r/>
            <w:r>
              <w:rPr>
                <w:rFonts w:ascii="Times New Roman" w:hAnsi="Times New Roman"/>
                <w:b w:val="0"/>
                <w:sz w:val="20"/>
              </w:rPr>
              <w:t>94.63%</w:t>
            </w:r>
          </w:p>
        </w:tc>
        <w:tc>
          <w:tcPr>
            <w:tcW w:type="dxa" w:w="907"/>
            <w:vAlign w:val="center"/>
          </w:tcPr>
          <w:p>
            <w:pPr>
              <w:spacing w:line="240" w:lineRule="auto" w:after="0"/>
            </w:pPr>
            <w:r/>
            <w:r>
              <w:rPr>
                <w:rFonts w:ascii="Times New Roman" w:hAnsi="Times New Roman"/>
                <w:b w:val="0"/>
                <w:sz w:val="20"/>
              </w:rPr>
              <w:t>94.61%</w:t>
            </w:r>
          </w:p>
        </w:tc>
        <w:tc>
          <w:tcPr>
            <w:tcW w:type="dxa" w:w="1134"/>
            <w:vAlign w:val="center"/>
          </w:tcPr>
          <w:p>
            <w:pPr>
              <w:spacing w:line="240" w:lineRule="auto" w:after="0"/>
            </w:pPr>
            <w:r/>
            <w:r>
              <w:rPr>
                <w:rFonts w:ascii="Times New Roman" w:hAnsi="Times New Roman"/>
                <w:b w:val="0"/>
                <w:sz w:val="20"/>
              </w:rPr>
              <w:t>97.17%</w:t>
            </w:r>
          </w:p>
        </w:tc>
      </w:tr>
      <w:tr>
        <w:tc>
          <w:tcPr>
            <w:tcW w:type="dxa" w:w="1587"/>
            <w:vAlign w:val="center"/>
          </w:tcPr>
          <w:p>
            <w:pPr>
              <w:spacing w:line="240" w:lineRule="auto" w:after="0"/>
            </w:pPr>
            <w:r/>
            <w:r>
              <w:rPr>
                <w:rFonts w:ascii="Times New Roman" w:hAnsi="Times New Roman"/>
                <w:b w:val="0"/>
                <w:sz w:val="20"/>
              </w:rPr>
              <w:t>SomBERTa-A</w:t>
            </w:r>
          </w:p>
        </w:tc>
        <w:tc>
          <w:tcPr>
            <w:tcW w:type="dxa" w:w="1474"/>
            <w:vAlign w:val="center"/>
          </w:tcPr>
          <w:p>
            <w:pPr>
              <w:spacing w:line="240" w:lineRule="auto" w:after="0"/>
            </w:pPr>
            <w:r/>
            <w:r>
              <w:rPr>
                <w:rFonts w:ascii="Times New Roman" w:hAnsi="Times New Roman"/>
                <w:b w:val="0"/>
                <w:sz w:val="20"/>
              </w:rPr>
              <w:t>Transformer</w:t>
            </w:r>
          </w:p>
        </w:tc>
        <w:tc>
          <w:tcPr>
            <w:tcW w:type="dxa" w:w="1020"/>
            <w:vAlign w:val="center"/>
          </w:tcPr>
          <w:p>
            <w:pPr>
              <w:spacing w:line="240" w:lineRule="auto" w:after="0"/>
            </w:pPr>
            <w:r/>
            <w:r>
              <w:rPr>
                <w:rFonts w:ascii="Times New Roman" w:hAnsi="Times New Roman"/>
                <w:b w:val="0"/>
                <w:sz w:val="20"/>
              </w:rPr>
              <w:t>93.92%</w:t>
            </w:r>
          </w:p>
        </w:tc>
        <w:tc>
          <w:tcPr>
            <w:tcW w:type="dxa" w:w="1020"/>
            <w:vAlign w:val="center"/>
          </w:tcPr>
          <w:p>
            <w:pPr>
              <w:spacing w:line="240" w:lineRule="auto" w:after="0"/>
            </w:pPr>
            <w:r/>
            <w:r>
              <w:rPr>
                <w:rFonts w:ascii="Times New Roman" w:hAnsi="Times New Roman"/>
                <w:b w:val="0"/>
                <w:sz w:val="20"/>
              </w:rPr>
              <w:t>94.00%</w:t>
            </w:r>
          </w:p>
        </w:tc>
        <w:tc>
          <w:tcPr>
            <w:tcW w:type="dxa" w:w="1020"/>
            <w:vAlign w:val="center"/>
          </w:tcPr>
          <w:p>
            <w:pPr>
              <w:spacing w:line="240" w:lineRule="auto" w:after="0"/>
            </w:pPr>
            <w:r/>
            <w:r>
              <w:rPr>
                <w:rFonts w:ascii="Times New Roman" w:hAnsi="Times New Roman"/>
                <w:b w:val="0"/>
                <w:sz w:val="20"/>
              </w:rPr>
              <w:t>93.92%</w:t>
            </w:r>
          </w:p>
        </w:tc>
        <w:tc>
          <w:tcPr>
            <w:tcW w:type="dxa" w:w="907"/>
            <w:vAlign w:val="center"/>
          </w:tcPr>
          <w:p>
            <w:pPr>
              <w:spacing w:line="240" w:lineRule="auto" w:after="0"/>
            </w:pPr>
            <w:r/>
            <w:r>
              <w:rPr>
                <w:rFonts w:ascii="Times New Roman" w:hAnsi="Times New Roman"/>
                <w:b w:val="0"/>
                <w:sz w:val="20"/>
              </w:rPr>
              <w:t>93.89%</w:t>
            </w:r>
          </w:p>
        </w:tc>
        <w:tc>
          <w:tcPr>
            <w:tcW w:type="dxa" w:w="1134"/>
            <w:vAlign w:val="center"/>
          </w:tcPr>
          <w:p>
            <w:pPr>
              <w:spacing w:line="240" w:lineRule="auto" w:after="0"/>
            </w:pPr>
            <w:r/>
            <w:r>
              <w:rPr>
                <w:rFonts w:ascii="Times New Roman" w:hAnsi="Times New Roman"/>
                <w:b w:val="0"/>
                <w:sz w:val="20"/>
              </w:rPr>
              <w:t>96.89%</w:t>
            </w:r>
          </w:p>
        </w:tc>
      </w:tr>
      <w:tr>
        <w:tc>
          <w:tcPr>
            <w:tcW w:type="dxa" w:w="1587"/>
            <w:vAlign w:val="center"/>
          </w:tcPr>
          <w:p>
            <w:pPr>
              <w:spacing w:line="240" w:lineRule="auto" w:after="0"/>
            </w:pPr>
            <w:r/>
            <w:r>
              <w:rPr>
                <w:rFonts w:ascii="Times New Roman" w:hAnsi="Times New Roman"/>
                <w:b w:val="0"/>
                <w:sz w:val="20"/>
              </w:rPr>
              <w:t>Linear SVM</w:t>
            </w:r>
          </w:p>
        </w:tc>
        <w:tc>
          <w:tcPr>
            <w:tcW w:type="dxa" w:w="1474"/>
            <w:vAlign w:val="center"/>
          </w:tcPr>
          <w:p>
            <w:pPr>
              <w:spacing w:line="240" w:lineRule="auto" w:after="0"/>
            </w:pPr>
            <w:r/>
            <w:r>
              <w:rPr>
                <w:rFonts w:ascii="Times New Roman" w:hAnsi="Times New Roman"/>
                <w:b w:val="0"/>
                <w:sz w:val="20"/>
              </w:rPr>
              <w:t>Classical ML</w:t>
            </w:r>
          </w:p>
        </w:tc>
        <w:tc>
          <w:tcPr>
            <w:tcW w:type="dxa" w:w="1020"/>
            <w:vAlign w:val="center"/>
          </w:tcPr>
          <w:p>
            <w:pPr>
              <w:spacing w:line="240" w:lineRule="auto" w:after="0"/>
            </w:pPr>
            <w:r/>
            <w:r>
              <w:rPr>
                <w:rFonts w:ascii="Times New Roman" w:hAnsi="Times New Roman"/>
                <w:b w:val="0"/>
                <w:sz w:val="20"/>
              </w:rPr>
              <w:t>91.71%</w:t>
            </w:r>
          </w:p>
        </w:tc>
        <w:tc>
          <w:tcPr>
            <w:tcW w:type="dxa" w:w="1020"/>
            <w:vAlign w:val="center"/>
          </w:tcPr>
          <w:p>
            <w:pPr>
              <w:spacing w:line="240" w:lineRule="auto" w:after="0"/>
            </w:pPr>
            <w:r/>
            <w:r>
              <w:rPr>
                <w:rFonts w:ascii="Times New Roman" w:hAnsi="Times New Roman"/>
                <w:b w:val="0"/>
                <w:sz w:val="20"/>
              </w:rPr>
              <w:t>91.81%</w:t>
            </w:r>
          </w:p>
        </w:tc>
        <w:tc>
          <w:tcPr>
            <w:tcW w:type="dxa" w:w="1020"/>
            <w:vAlign w:val="center"/>
          </w:tcPr>
          <w:p>
            <w:pPr>
              <w:spacing w:line="240" w:lineRule="auto" w:after="0"/>
            </w:pPr>
            <w:r/>
            <w:r>
              <w:rPr>
                <w:rFonts w:ascii="Times New Roman" w:hAnsi="Times New Roman"/>
                <w:b w:val="0"/>
                <w:sz w:val="20"/>
              </w:rPr>
              <w:t>93.49%</w:t>
            </w:r>
          </w:p>
        </w:tc>
        <w:tc>
          <w:tcPr>
            <w:tcW w:type="dxa" w:w="907"/>
            <w:vAlign w:val="center"/>
          </w:tcPr>
          <w:p>
            <w:pPr>
              <w:spacing w:line="240" w:lineRule="auto" w:after="0"/>
            </w:pPr>
            <w:r/>
            <w:r>
              <w:rPr>
                <w:rFonts w:ascii="Times New Roman" w:hAnsi="Times New Roman"/>
                <w:b w:val="0"/>
                <w:sz w:val="20"/>
              </w:rPr>
              <w:t>91.70%</w:t>
            </w:r>
          </w:p>
        </w:tc>
        <w:tc>
          <w:tcPr>
            <w:tcW w:type="dxa" w:w="1134"/>
            <w:vAlign w:val="center"/>
          </w:tcPr>
          <w:p>
            <w:pPr>
              <w:spacing w:line="240" w:lineRule="auto" w:after="0"/>
            </w:pPr>
            <w:r/>
            <w:r>
              <w:rPr>
                <w:rFonts w:ascii="Times New Roman" w:hAnsi="Times New Roman"/>
                <w:b w:val="0"/>
                <w:sz w:val="20"/>
              </w:rPr>
              <w:t>93.49%</w:t>
            </w:r>
          </w:p>
        </w:tc>
      </w:tr>
      <w:tr>
        <w:tc>
          <w:tcPr>
            <w:tcW w:type="dxa" w:w="1587"/>
            <w:vAlign w:val="center"/>
          </w:tcPr>
          <w:p>
            <w:pPr>
              <w:spacing w:line="240" w:lineRule="auto" w:after="0"/>
            </w:pPr>
            <w:r/>
            <w:r>
              <w:rPr>
                <w:rFonts w:ascii="Times New Roman" w:hAnsi="Times New Roman"/>
                <w:b w:val="0"/>
                <w:sz w:val="20"/>
              </w:rPr>
              <w:t>Random Forest</w:t>
            </w:r>
          </w:p>
        </w:tc>
        <w:tc>
          <w:tcPr>
            <w:tcW w:type="dxa" w:w="1474"/>
            <w:vAlign w:val="center"/>
          </w:tcPr>
          <w:p>
            <w:pPr>
              <w:spacing w:line="240" w:lineRule="auto" w:after="0"/>
            </w:pPr>
            <w:r/>
            <w:r>
              <w:rPr>
                <w:rFonts w:ascii="Times New Roman" w:hAnsi="Times New Roman"/>
                <w:b w:val="0"/>
                <w:sz w:val="20"/>
              </w:rPr>
              <w:t>Classical ML</w:t>
            </w:r>
          </w:p>
        </w:tc>
        <w:tc>
          <w:tcPr>
            <w:tcW w:type="dxa" w:w="1020"/>
            <w:vAlign w:val="center"/>
          </w:tcPr>
          <w:p>
            <w:pPr>
              <w:spacing w:line="240" w:lineRule="auto" w:after="0"/>
            </w:pPr>
            <w:r/>
            <w:r>
              <w:rPr>
                <w:rFonts w:ascii="Times New Roman" w:hAnsi="Times New Roman"/>
                <w:b w:val="0"/>
                <w:sz w:val="20"/>
              </w:rPr>
              <w:t>91.55%</w:t>
            </w:r>
          </w:p>
        </w:tc>
        <w:tc>
          <w:tcPr>
            <w:tcW w:type="dxa" w:w="1020"/>
            <w:vAlign w:val="center"/>
          </w:tcPr>
          <w:p>
            <w:pPr>
              <w:spacing w:line="240" w:lineRule="auto" w:after="0"/>
            </w:pPr>
            <w:r/>
            <w:r>
              <w:rPr>
                <w:rFonts w:ascii="Times New Roman" w:hAnsi="Times New Roman"/>
                <w:b w:val="0"/>
                <w:sz w:val="20"/>
              </w:rPr>
              <w:t>90.32%</w:t>
            </w:r>
          </w:p>
        </w:tc>
        <w:tc>
          <w:tcPr>
            <w:tcW w:type="dxa" w:w="1020"/>
            <w:vAlign w:val="center"/>
          </w:tcPr>
          <w:p>
            <w:pPr>
              <w:spacing w:line="240" w:lineRule="auto" w:after="0"/>
            </w:pPr>
            <w:r/>
            <w:r>
              <w:rPr>
                <w:rFonts w:ascii="Times New Roman" w:hAnsi="Times New Roman"/>
                <w:b w:val="0"/>
                <w:sz w:val="20"/>
              </w:rPr>
              <w:t>95.05%</w:t>
            </w:r>
          </w:p>
        </w:tc>
        <w:tc>
          <w:tcPr>
            <w:tcW w:type="dxa" w:w="907"/>
            <w:vAlign w:val="center"/>
          </w:tcPr>
          <w:p>
            <w:pPr>
              <w:spacing w:line="240" w:lineRule="auto" w:after="0"/>
            </w:pPr>
            <w:r/>
            <w:r>
              <w:rPr>
                <w:rFonts w:ascii="Times New Roman" w:hAnsi="Times New Roman"/>
                <w:b w:val="0"/>
                <w:sz w:val="20"/>
              </w:rPr>
              <w:t>91.51%</w:t>
            </w:r>
          </w:p>
        </w:tc>
        <w:tc>
          <w:tcPr>
            <w:tcW w:type="dxa" w:w="1134"/>
            <w:vAlign w:val="center"/>
          </w:tcPr>
          <w:p>
            <w:pPr>
              <w:spacing w:line="240" w:lineRule="auto" w:after="0"/>
            </w:pPr>
            <w:r/>
            <w:r>
              <w:rPr>
                <w:rFonts w:ascii="Times New Roman" w:hAnsi="Times New Roman"/>
                <w:b w:val="0"/>
                <w:sz w:val="20"/>
              </w:rPr>
              <w:t>95.05%</w:t>
            </w:r>
          </w:p>
        </w:tc>
      </w:tr>
      <w:tr>
        <w:tc>
          <w:tcPr>
            <w:tcW w:type="dxa" w:w="1587"/>
            <w:vAlign w:val="center"/>
          </w:tcPr>
          <w:p>
            <w:pPr>
              <w:spacing w:line="240" w:lineRule="auto" w:after="0"/>
            </w:pPr>
            <w:r/>
            <w:r>
              <w:rPr>
                <w:rFonts w:ascii="Times New Roman" w:hAnsi="Times New Roman"/>
                <w:b w:val="0"/>
                <w:sz w:val="20"/>
              </w:rPr>
              <w:t>Gradient Boosting</w:t>
            </w:r>
          </w:p>
        </w:tc>
        <w:tc>
          <w:tcPr>
            <w:tcW w:type="dxa" w:w="1474"/>
            <w:vAlign w:val="center"/>
          </w:tcPr>
          <w:p>
            <w:pPr>
              <w:spacing w:line="240" w:lineRule="auto" w:after="0"/>
            </w:pPr>
            <w:r/>
            <w:r>
              <w:rPr>
                <w:rFonts w:ascii="Times New Roman" w:hAnsi="Times New Roman"/>
                <w:b w:val="0"/>
                <w:sz w:val="20"/>
              </w:rPr>
              <w:t>Classical ML</w:t>
            </w:r>
          </w:p>
        </w:tc>
        <w:tc>
          <w:tcPr>
            <w:tcW w:type="dxa" w:w="1020"/>
            <w:vAlign w:val="center"/>
          </w:tcPr>
          <w:p>
            <w:pPr>
              <w:spacing w:line="240" w:lineRule="auto" w:after="0"/>
            </w:pPr>
            <w:r/>
            <w:r>
              <w:rPr>
                <w:rFonts w:ascii="Times New Roman" w:hAnsi="Times New Roman"/>
                <w:b w:val="0"/>
                <w:sz w:val="20"/>
              </w:rPr>
              <w:t>91.55%</w:t>
            </w:r>
          </w:p>
        </w:tc>
        <w:tc>
          <w:tcPr>
            <w:tcW w:type="dxa" w:w="1020"/>
            <w:vAlign w:val="center"/>
          </w:tcPr>
          <w:p>
            <w:pPr>
              <w:spacing w:line="240" w:lineRule="auto" w:after="0"/>
            </w:pPr>
            <w:r/>
            <w:r>
              <w:rPr>
                <w:rFonts w:ascii="Times New Roman" w:hAnsi="Times New Roman"/>
                <w:b w:val="0"/>
                <w:sz w:val="20"/>
              </w:rPr>
              <w:t>92.86%</w:t>
            </w:r>
          </w:p>
        </w:tc>
        <w:tc>
          <w:tcPr>
            <w:tcW w:type="dxa" w:w="1020"/>
            <w:vAlign w:val="center"/>
          </w:tcPr>
          <w:p>
            <w:pPr>
              <w:spacing w:line="240" w:lineRule="auto" w:after="0"/>
            </w:pPr>
            <w:r/>
            <w:r>
              <w:rPr>
                <w:rFonts w:ascii="Times New Roman" w:hAnsi="Times New Roman"/>
                <w:b w:val="0"/>
                <w:sz w:val="20"/>
              </w:rPr>
              <w:t>91.94%</w:t>
            </w:r>
          </w:p>
        </w:tc>
        <w:tc>
          <w:tcPr>
            <w:tcW w:type="dxa" w:w="907"/>
            <w:vAlign w:val="center"/>
          </w:tcPr>
          <w:p>
            <w:pPr>
              <w:spacing w:line="240" w:lineRule="auto" w:after="0"/>
            </w:pPr>
            <w:r/>
            <w:r>
              <w:rPr>
                <w:rFonts w:ascii="Times New Roman" w:hAnsi="Times New Roman"/>
                <w:b w:val="0"/>
                <w:sz w:val="20"/>
              </w:rPr>
              <w:t>91.55%</w:t>
            </w:r>
          </w:p>
        </w:tc>
        <w:tc>
          <w:tcPr>
            <w:tcW w:type="dxa" w:w="1134"/>
            <w:vAlign w:val="center"/>
          </w:tcPr>
          <w:p>
            <w:pPr>
              <w:spacing w:line="240" w:lineRule="auto" w:after="0"/>
            </w:pPr>
            <w:r/>
            <w:r>
              <w:rPr>
                <w:rFonts w:ascii="Times New Roman" w:hAnsi="Times New Roman"/>
                <w:b w:val="0"/>
                <w:sz w:val="20"/>
              </w:rPr>
              <w:t>91.94%</w:t>
            </w:r>
          </w:p>
        </w:tc>
      </w:tr>
      <w:tr>
        <w:tc>
          <w:tcPr>
            <w:tcW w:type="dxa" w:w="1587"/>
            <w:vAlign w:val="center"/>
          </w:tcPr>
          <w:p>
            <w:pPr>
              <w:spacing w:line="240" w:lineRule="auto" w:after="0"/>
            </w:pPr>
            <w:r/>
            <w:r>
              <w:rPr>
                <w:rFonts w:ascii="Times New Roman" w:hAnsi="Times New Roman"/>
                <w:b w:val="0"/>
                <w:sz w:val="20"/>
              </w:rPr>
              <w:t>Logistic Regression</w:t>
            </w:r>
          </w:p>
        </w:tc>
        <w:tc>
          <w:tcPr>
            <w:tcW w:type="dxa" w:w="1474"/>
            <w:vAlign w:val="center"/>
          </w:tcPr>
          <w:p>
            <w:pPr>
              <w:spacing w:line="240" w:lineRule="auto" w:after="0"/>
            </w:pPr>
            <w:r/>
            <w:r>
              <w:rPr>
                <w:rFonts w:ascii="Times New Roman" w:hAnsi="Times New Roman"/>
                <w:b w:val="0"/>
                <w:sz w:val="20"/>
              </w:rPr>
              <w:t>Classical ML</w:t>
            </w:r>
          </w:p>
        </w:tc>
        <w:tc>
          <w:tcPr>
            <w:tcW w:type="dxa" w:w="1020"/>
            <w:vAlign w:val="center"/>
          </w:tcPr>
          <w:p>
            <w:pPr>
              <w:spacing w:line="240" w:lineRule="auto" w:after="0"/>
            </w:pPr>
            <w:r/>
            <w:r>
              <w:rPr>
                <w:rFonts w:ascii="Times New Roman" w:hAnsi="Times New Roman"/>
                <w:b w:val="0"/>
                <w:sz w:val="20"/>
              </w:rPr>
              <w:t>91.23%</w:t>
            </w:r>
          </w:p>
        </w:tc>
        <w:tc>
          <w:tcPr>
            <w:tcW w:type="dxa" w:w="1020"/>
            <w:vAlign w:val="center"/>
          </w:tcPr>
          <w:p>
            <w:pPr>
              <w:spacing w:line="240" w:lineRule="auto" w:after="0"/>
            </w:pPr>
            <w:r/>
            <w:r>
              <w:rPr>
                <w:rFonts w:ascii="Times New Roman" w:hAnsi="Times New Roman"/>
                <w:b w:val="0"/>
                <w:sz w:val="20"/>
              </w:rPr>
              <w:t>91.27%</w:t>
            </w:r>
          </w:p>
        </w:tc>
        <w:tc>
          <w:tcPr>
            <w:tcW w:type="dxa" w:w="1020"/>
            <w:vAlign w:val="center"/>
          </w:tcPr>
          <w:p>
            <w:pPr>
              <w:spacing w:line="240" w:lineRule="auto" w:after="0"/>
            </w:pPr>
            <w:r/>
            <w:r>
              <w:rPr>
                <w:rFonts w:ascii="Times New Roman" w:hAnsi="Times New Roman"/>
                <w:b w:val="0"/>
                <w:sz w:val="20"/>
              </w:rPr>
              <w:t>93.21%</w:t>
            </w:r>
          </w:p>
        </w:tc>
        <w:tc>
          <w:tcPr>
            <w:tcW w:type="dxa" w:w="907"/>
            <w:vAlign w:val="center"/>
          </w:tcPr>
          <w:p>
            <w:pPr>
              <w:spacing w:line="240" w:lineRule="auto" w:after="0"/>
            </w:pPr>
            <w:r/>
            <w:r>
              <w:rPr>
                <w:rFonts w:ascii="Times New Roman" w:hAnsi="Times New Roman"/>
                <w:b w:val="0"/>
                <w:sz w:val="20"/>
              </w:rPr>
              <w:t>91.22%</w:t>
            </w:r>
          </w:p>
        </w:tc>
        <w:tc>
          <w:tcPr>
            <w:tcW w:type="dxa" w:w="1134"/>
            <w:vAlign w:val="center"/>
          </w:tcPr>
          <w:p>
            <w:pPr>
              <w:spacing w:line="240" w:lineRule="auto" w:after="0"/>
            </w:pPr>
            <w:r/>
            <w:r>
              <w:rPr>
                <w:rFonts w:ascii="Times New Roman" w:hAnsi="Times New Roman"/>
                <w:b w:val="0"/>
                <w:sz w:val="20"/>
              </w:rPr>
              <w:t>93.21%</w:t>
            </w:r>
          </w:p>
        </w:tc>
      </w:tr>
      <w:tr>
        <w:tc>
          <w:tcPr>
            <w:tcW w:type="dxa" w:w="1587"/>
            <w:vAlign w:val="center"/>
          </w:tcPr>
          <w:p>
            <w:pPr>
              <w:spacing w:line="240" w:lineRule="auto" w:after="0"/>
            </w:pPr>
            <w:r/>
            <w:r>
              <w:rPr>
                <w:rFonts w:ascii="Times New Roman" w:hAnsi="Times New Roman"/>
                <w:b w:val="0"/>
                <w:sz w:val="20"/>
              </w:rPr>
              <w:t>KNN</w:t>
            </w:r>
          </w:p>
        </w:tc>
        <w:tc>
          <w:tcPr>
            <w:tcW w:type="dxa" w:w="1474"/>
            <w:vAlign w:val="center"/>
          </w:tcPr>
          <w:p>
            <w:pPr>
              <w:spacing w:line="240" w:lineRule="auto" w:after="0"/>
            </w:pPr>
            <w:r/>
            <w:r>
              <w:rPr>
                <w:rFonts w:ascii="Times New Roman" w:hAnsi="Times New Roman"/>
                <w:b w:val="0"/>
                <w:sz w:val="20"/>
              </w:rPr>
              <w:t>Classical ML</w:t>
            </w:r>
          </w:p>
        </w:tc>
        <w:tc>
          <w:tcPr>
            <w:tcW w:type="dxa" w:w="1020"/>
            <w:vAlign w:val="center"/>
          </w:tcPr>
          <w:p>
            <w:pPr>
              <w:spacing w:line="240" w:lineRule="auto" w:after="0"/>
            </w:pPr>
            <w:r/>
            <w:r>
              <w:rPr>
                <w:rFonts w:ascii="Times New Roman" w:hAnsi="Times New Roman"/>
                <w:b w:val="0"/>
                <w:sz w:val="20"/>
              </w:rPr>
              <w:t>91.15%</w:t>
            </w:r>
          </w:p>
        </w:tc>
        <w:tc>
          <w:tcPr>
            <w:tcW w:type="dxa" w:w="1020"/>
            <w:vAlign w:val="center"/>
          </w:tcPr>
          <w:p>
            <w:pPr>
              <w:spacing w:line="240" w:lineRule="auto" w:after="0"/>
            </w:pPr>
            <w:r/>
            <w:r>
              <w:rPr>
                <w:rFonts w:ascii="Times New Roman" w:hAnsi="Times New Roman"/>
                <w:b w:val="0"/>
                <w:sz w:val="20"/>
              </w:rPr>
              <w:t>92.20%</w:t>
            </w:r>
          </w:p>
        </w:tc>
        <w:tc>
          <w:tcPr>
            <w:tcW w:type="dxa" w:w="1020"/>
            <w:vAlign w:val="center"/>
          </w:tcPr>
          <w:p>
            <w:pPr>
              <w:spacing w:line="240" w:lineRule="auto" w:after="0"/>
            </w:pPr>
            <w:r/>
            <w:r>
              <w:rPr>
                <w:rFonts w:ascii="Times New Roman" w:hAnsi="Times New Roman"/>
                <w:b w:val="0"/>
                <w:sz w:val="20"/>
              </w:rPr>
              <w:t>91.94%</w:t>
            </w:r>
          </w:p>
        </w:tc>
        <w:tc>
          <w:tcPr>
            <w:tcW w:type="dxa" w:w="907"/>
            <w:vAlign w:val="center"/>
          </w:tcPr>
          <w:p>
            <w:pPr>
              <w:spacing w:line="240" w:lineRule="auto" w:after="0"/>
            </w:pPr>
            <w:r/>
            <w:r>
              <w:rPr>
                <w:rFonts w:ascii="Times New Roman" w:hAnsi="Times New Roman"/>
                <w:b w:val="0"/>
                <w:sz w:val="20"/>
              </w:rPr>
              <w:t>91.15%</w:t>
            </w:r>
          </w:p>
        </w:tc>
        <w:tc>
          <w:tcPr>
            <w:tcW w:type="dxa" w:w="1134"/>
            <w:vAlign w:val="center"/>
          </w:tcPr>
          <w:p>
            <w:pPr>
              <w:spacing w:line="240" w:lineRule="auto" w:after="0"/>
            </w:pPr>
            <w:r/>
            <w:r>
              <w:rPr>
                <w:rFonts w:ascii="Times New Roman" w:hAnsi="Times New Roman"/>
                <w:b w:val="0"/>
                <w:sz w:val="20"/>
              </w:rPr>
              <w:t>91.94%</w:t>
            </w:r>
          </w:p>
        </w:tc>
      </w:tr>
      <w:tr>
        <w:tc>
          <w:tcPr>
            <w:tcW w:type="dxa" w:w="1587"/>
            <w:vAlign w:val="center"/>
          </w:tcPr>
          <w:p>
            <w:pPr>
              <w:spacing w:line="240" w:lineRule="auto" w:after="0"/>
            </w:pPr>
            <w:r/>
            <w:r>
              <w:rPr>
                <w:rFonts w:ascii="Times New Roman" w:hAnsi="Times New Roman"/>
                <w:b w:val="0"/>
                <w:sz w:val="20"/>
              </w:rPr>
              <w:t>BiLSTM</w:t>
            </w:r>
          </w:p>
        </w:tc>
        <w:tc>
          <w:tcPr>
            <w:tcW w:type="dxa" w:w="1474"/>
            <w:vAlign w:val="center"/>
          </w:tcPr>
          <w:p>
            <w:pPr>
              <w:spacing w:line="240" w:lineRule="auto" w:after="0"/>
            </w:pPr>
            <w:r/>
            <w:r>
              <w:rPr>
                <w:rFonts w:ascii="Times New Roman" w:hAnsi="Times New Roman"/>
                <w:b w:val="0"/>
                <w:sz w:val="20"/>
              </w:rPr>
              <w:t>Deep Learning</w:t>
            </w:r>
          </w:p>
        </w:tc>
        <w:tc>
          <w:tcPr>
            <w:tcW w:type="dxa" w:w="1020"/>
            <w:vAlign w:val="center"/>
          </w:tcPr>
          <w:p>
            <w:pPr>
              <w:spacing w:line="240" w:lineRule="auto" w:after="0"/>
            </w:pPr>
            <w:r/>
            <w:r>
              <w:rPr>
                <w:rFonts w:ascii="Times New Roman" w:hAnsi="Times New Roman"/>
                <w:b w:val="0"/>
                <w:sz w:val="20"/>
              </w:rPr>
              <w:t>88.47%</w:t>
            </w:r>
          </w:p>
        </w:tc>
        <w:tc>
          <w:tcPr>
            <w:tcW w:type="dxa" w:w="1020"/>
            <w:vAlign w:val="center"/>
          </w:tcPr>
          <w:p>
            <w:pPr>
              <w:spacing w:line="240" w:lineRule="auto" w:after="0"/>
            </w:pPr>
            <w:r/>
            <w:r>
              <w:rPr>
                <w:rFonts w:ascii="Times New Roman" w:hAnsi="Times New Roman"/>
                <w:b w:val="0"/>
                <w:sz w:val="20"/>
              </w:rPr>
              <w:t>88.46%</w:t>
            </w:r>
          </w:p>
        </w:tc>
        <w:tc>
          <w:tcPr>
            <w:tcW w:type="dxa" w:w="1020"/>
            <w:vAlign w:val="center"/>
          </w:tcPr>
          <w:p>
            <w:pPr>
              <w:spacing w:line="240" w:lineRule="auto" w:after="0"/>
            </w:pPr>
            <w:r/>
            <w:r>
              <w:rPr>
                <w:rFonts w:ascii="Times New Roman" w:hAnsi="Times New Roman"/>
                <w:b w:val="0"/>
                <w:sz w:val="20"/>
              </w:rPr>
              <w:t>88.47%</w:t>
            </w:r>
          </w:p>
        </w:tc>
        <w:tc>
          <w:tcPr>
            <w:tcW w:type="dxa" w:w="907"/>
            <w:vAlign w:val="center"/>
          </w:tcPr>
          <w:p>
            <w:pPr>
              <w:spacing w:line="240" w:lineRule="auto" w:after="0"/>
            </w:pPr>
            <w:r/>
            <w:r>
              <w:rPr>
                <w:rFonts w:ascii="Times New Roman" w:hAnsi="Times New Roman"/>
                <w:b w:val="0"/>
                <w:sz w:val="20"/>
              </w:rPr>
              <w:t>88.45%</w:t>
            </w:r>
          </w:p>
        </w:tc>
        <w:tc>
          <w:tcPr>
            <w:tcW w:type="dxa" w:w="1134"/>
            <w:vAlign w:val="center"/>
          </w:tcPr>
          <w:p>
            <w:pPr>
              <w:spacing w:line="240" w:lineRule="auto" w:after="0"/>
            </w:pPr>
            <w:r/>
            <w:r>
              <w:rPr>
                <w:rFonts w:ascii="Times New Roman" w:hAnsi="Times New Roman"/>
                <w:b w:val="0"/>
                <w:sz w:val="20"/>
              </w:rPr>
              <w:t>90.52%</w:t>
            </w:r>
          </w:p>
        </w:tc>
      </w:tr>
      <w:tr>
        <w:tc>
          <w:tcPr>
            <w:tcW w:type="dxa" w:w="1587"/>
            <w:vAlign w:val="center"/>
          </w:tcPr>
          <w:p>
            <w:pPr>
              <w:spacing w:line="240" w:lineRule="auto" w:after="0"/>
            </w:pPr>
            <w:r/>
            <w:r>
              <w:rPr>
                <w:rFonts w:ascii="Times New Roman" w:hAnsi="Times New Roman"/>
                <w:b w:val="0"/>
                <w:sz w:val="20"/>
              </w:rPr>
              <w:t>1D-CNN</w:t>
            </w:r>
          </w:p>
        </w:tc>
        <w:tc>
          <w:tcPr>
            <w:tcW w:type="dxa" w:w="1474"/>
            <w:vAlign w:val="center"/>
          </w:tcPr>
          <w:p>
            <w:pPr>
              <w:spacing w:line="240" w:lineRule="auto" w:after="0"/>
            </w:pPr>
            <w:r/>
            <w:r>
              <w:rPr>
                <w:rFonts w:ascii="Times New Roman" w:hAnsi="Times New Roman"/>
                <w:b w:val="0"/>
                <w:sz w:val="20"/>
              </w:rPr>
              <w:t>Deep Learning</w:t>
            </w:r>
          </w:p>
        </w:tc>
        <w:tc>
          <w:tcPr>
            <w:tcW w:type="dxa" w:w="1020"/>
            <w:vAlign w:val="center"/>
          </w:tcPr>
          <w:p>
            <w:pPr>
              <w:spacing w:line="240" w:lineRule="auto" w:after="0"/>
            </w:pPr>
            <w:r/>
            <w:r>
              <w:rPr>
                <w:rFonts w:ascii="Times New Roman" w:hAnsi="Times New Roman"/>
                <w:b w:val="0"/>
                <w:sz w:val="20"/>
              </w:rPr>
              <w:t>88.39%</w:t>
            </w:r>
          </w:p>
        </w:tc>
        <w:tc>
          <w:tcPr>
            <w:tcW w:type="dxa" w:w="1020"/>
            <w:vAlign w:val="center"/>
          </w:tcPr>
          <w:p>
            <w:pPr>
              <w:spacing w:line="240" w:lineRule="auto" w:after="0"/>
            </w:pPr>
            <w:r/>
            <w:r>
              <w:rPr>
                <w:rFonts w:ascii="Times New Roman" w:hAnsi="Times New Roman"/>
                <w:b w:val="0"/>
                <w:sz w:val="20"/>
              </w:rPr>
              <w:t>88.50%</w:t>
            </w:r>
          </w:p>
        </w:tc>
        <w:tc>
          <w:tcPr>
            <w:tcW w:type="dxa" w:w="1020"/>
            <w:vAlign w:val="center"/>
          </w:tcPr>
          <w:p>
            <w:pPr>
              <w:spacing w:line="240" w:lineRule="auto" w:after="0"/>
            </w:pPr>
            <w:r/>
            <w:r>
              <w:rPr>
                <w:rFonts w:ascii="Times New Roman" w:hAnsi="Times New Roman"/>
                <w:b w:val="0"/>
                <w:sz w:val="20"/>
              </w:rPr>
              <w:t>88.39%</w:t>
            </w:r>
          </w:p>
        </w:tc>
        <w:tc>
          <w:tcPr>
            <w:tcW w:type="dxa" w:w="907"/>
            <w:vAlign w:val="center"/>
          </w:tcPr>
          <w:p>
            <w:pPr>
              <w:spacing w:line="240" w:lineRule="auto" w:after="0"/>
            </w:pPr>
            <w:r/>
            <w:r>
              <w:rPr>
                <w:rFonts w:ascii="Times New Roman" w:hAnsi="Times New Roman"/>
                <w:b w:val="0"/>
                <w:sz w:val="20"/>
              </w:rPr>
              <w:t>88.32%</w:t>
            </w:r>
          </w:p>
        </w:tc>
        <w:tc>
          <w:tcPr>
            <w:tcW w:type="dxa" w:w="1134"/>
            <w:vAlign w:val="center"/>
          </w:tcPr>
          <w:p>
            <w:pPr>
              <w:spacing w:line="240" w:lineRule="auto" w:after="0"/>
            </w:pPr>
            <w:r/>
            <w:r>
              <w:rPr>
                <w:rFonts w:ascii="Times New Roman" w:hAnsi="Times New Roman"/>
                <w:b w:val="0"/>
                <w:sz w:val="20"/>
              </w:rPr>
              <w:t>92.93%</w:t>
            </w:r>
          </w:p>
        </w:tc>
      </w:tr>
      <w:tr>
        <w:tc>
          <w:tcPr>
            <w:tcW w:type="dxa" w:w="1587"/>
            <w:vAlign w:val="center"/>
          </w:tcPr>
          <w:p>
            <w:pPr>
              <w:spacing w:line="240" w:lineRule="auto" w:after="0"/>
            </w:pPr>
            <w:r/>
            <w:r>
              <w:rPr>
                <w:rFonts w:ascii="Times New Roman" w:hAnsi="Times New Roman"/>
                <w:b w:val="0"/>
                <w:sz w:val="20"/>
              </w:rPr>
              <w:t>Naive Bayes</w:t>
            </w:r>
          </w:p>
        </w:tc>
        <w:tc>
          <w:tcPr>
            <w:tcW w:type="dxa" w:w="1474"/>
            <w:vAlign w:val="center"/>
          </w:tcPr>
          <w:p>
            <w:pPr>
              <w:spacing w:line="240" w:lineRule="auto" w:after="0"/>
            </w:pPr>
            <w:r/>
            <w:r>
              <w:rPr>
                <w:rFonts w:ascii="Times New Roman" w:hAnsi="Times New Roman"/>
                <w:b w:val="0"/>
                <w:sz w:val="20"/>
              </w:rPr>
              <w:t>Classical ML</w:t>
            </w:r>
          </w:p>
        </w:tc>
        <w:tc>
          <w:tcPr>
            <w:tcW w:type="dxa" w:w="1020"/>
            <w:vAlign w:val="center"/>
          </w:tcPr>
          <w:p>
            <w:pPr>
              <w:spacing w:line="240" w:lineRule="auto" w:after="0"/>
            </w:pPr>
            <w:r/>
            <w:r>
              <w:rPr>
                <w:rFonts w:ascii="Times New Roman" w:hAnsi="Times New Roman"/>
                <w:b w:val="0"/>
                <w:sz w:val="20"/>
              </w:rPr>
              <w:t>88.23%</w:t>
            </w:r>
          </w:p>
        </w:tc>
        <w:tc>
          <w:tcPr>
            <w:tcW w:type="dxa" w:w="1020"/>
            <w:vAlign w:val="center"/>
          </w:tcPr>
          <w:p>
            <w:pPr>
              <w:spacing w:line="240" w:lineRule="auto" w:after="0"/>
            </w:pPr>
            <w:r/>
            <w:r>
              <w:rPr>
                <w:rFonts w:ascii="Times New Roman" w:hAnsi="Times New Roman"/>
                <w:b w:val="0"/>
                <w:sz w:val="20"/>
              </w:rPr>
              <w:t>89.30%</w:t>
            </w:r>
          </w:p>
        </w:tc>
        <w:tc>
          <w:tcPr>
            <w:tcW w:type="dxa" w:w="1020"/>
            <w:vAlign w:val="center"/>
          </w:tcPr>
          <w:p>
            <w:pPr>
              <w:spacing w:line="240" w:lineRule="auto" w:after="0"/>
            </w:pPr>
            <w:r/>
            <w:r>
              <w:rPr>
                <w:rFonts w:ascii="Times New Roman" w:hAnsi="Times New Roman"/>
                <w:b w:val="0"/>
                <w:sz w:val="20"/>
              </w:rPr>
              <w:t>89.67%</w:t>
            </w:r>
          </w:p>
        </w:tc>
        <w:tc>
          <w:tcPr>
            <w:tcW w:type="dxa" w:w="907"/>
            <w:vAlign w:val="center"/>
          </w:tcPr>
          <w:p>
            <w:pPr>
              <w:spacing w:line="240" w:lineRule="auto" w:after="0"/>
            </w:pPr>
            <w:r/>
            <w:r>
              <w:rPr>
                <w:rFonts w:ascii="Times New Roman" w:hAnsi="Times New Roman"/>
                <w:b w:val="0"/>
                <w:sz w:val="20"/>
              </w:rPr>
              <w:t>88.23%</w:t>
            </w:r>
          </w:p>
        </w:tc>
        <w:tc>
          <w:tcPr>
            <w:tcW w:type="dxa" w:w="1134"/>
            <w:vAlign w:val="center"/>
          </w:tcPr>
          <w:p>
            <w:pPr>
              <w:spacing w:line="240" w:lineRule="auto" w:after="0"/>
            </w:pPr>
            <w:r/>
            <w:r>
              <w:rPr>
                <w:rFonts w:ascii="Times New Roman" w:hAnsi="Times New Roman"/>
                <w:b w:val="0"/>
                <w:sz w:val="20"/>
              </w:rPr>
              <w:t>89.67%</w:t>
            </w:r>
          </w:p>
        </w:tc>
      </w:tr>
      <w:tr>
        <w:tc>
          <w:tcPr>
            <w:tcW w:type="dxa" w:w="1587"/>
            <w:vAlign w:val="center"/>
          </w:tcPr>
          <w:p>
            <w:pPr>
              <w:spacing w:line="240" w:lineRule="auto" w:after="0"/>
            </w:pPr>
            <w:r/>
            <w:r>
              <w:rPr>
                <w:rFonts w:ascii="Times New Roman" w:hAnsi="Times New Roman"/>
                <w:b w:val="0"/>
                <w:sz w:val="20"/>
              </w:rPr>
              <w:t>Decision Tree</w:t>
            </w:r>
          </w:p>
        </w:tc>
        <w:tc>
          <w:tcPr>
            <w:tcW w:type="dxa" w:w="1474"/>
            <w:vAlign w:val="center"/>
          </w:tcPr>
          <w:p>
            <w:pPr>
              <w:spacing w:line="240" w:lineRule="auto" w:after="0"/>
            </w:pPr>
            <w:r/>
            <w:r>
              <w:rPr>
                <w:rFonts w:ascii="Times New Roman" w:hAnsi="Times New Roman"/>
                <w:b w:val="0"/>
                <w:sz w:val="20"/>
              </w:rPr>
              <w:t>Classical ML</w:t>
            </w:r>
          </w:p>
        </w:tc>
        <w:tc>
          <w:tcPr>
            <w:tcW w:type="dxa" w:w="1020"/>
            <w:vAlign w:val="center"/>
          </w:tcPr>
          <w:p>
            <w:pPr>
              <w:spacing w:line="240" w:lineRule="auto" w:after="0"/>
            </w:pPr>
            <w:r/>
            <w:r>
              <w:rPr>
                <w:rFonts w:ascii="Times New Roman" w:hAnsi="Times New Roman"/>
                <w:b w:val="0"/>
                <w:sz w:val="20"/>
              </w:rPr>
              <w:t>86.89%</w:t>
            </w:r>
          </w:p>
        </w:tc>
        <w:tc>
          <w:tcPr>
            <w:tcW w:type="dxa" w:w="1020"/>
            <w:vAlign w:val="center"/>
          </w:tcPr>
          <w:p>
            <w:pPr>
              <w:spacing w:line="240" w:lineRule="auto" w:after="0"/>
            </w:pPr>
            <w:r/>
            <w:r>
              <w:rPr>
                <w:rFonts w:ascii="Times New Roman" w:hAnsi="Times New Roman"/>
                <w:b w:val="0"/>
                <w:sz w:val="20"/>
              </w:rPr>
              <w:t>88.26%</w:t>
            </w:r>
          </w:p>
        </w:tc>
        <w:tc>
          <w:tcPr>
            <w:tcW w:type="dxa" w:w="1020"/>
            <w:vAlign w:val="center"/>
          </w:tcPr>
          <w:p>
            <w:pPr>
              <w:spacing w:line="240" w:lineRule="auto" w:after="0"/>
            </w:pPr>
            <w:r/>
            <w:r>
              <w:rPr>
                <w:rFonts w:ascii="Times New Roman" w:hAnsi="Times New Roman"/>
                <w:b w:val="0"/>
                <w:sz w:val="20"/>
              </w:rPr>
              <w:t>88.26%</w:t>
            </w:r>
          </w:p>
        </w:tc>
        <w:tc>
          <w:tcPr>
            <w:tcW w:type="dxa" w:w="907"/>
            <w:vAlign w:val="center"/>
          </w:tcPr>
          <w:p>
            <w:pPr>
              <w:spacing w:line="240" w:lineRule="auto" w:after="0"/>
            </w:pPr>
            <w:r/>
            <w:r>
              <w:rPr>
                <w:rFonts w:ascii="Times New Roman" w:hAnsi="Times New Roman"/>
                <w:b w:val="0"/>
                <w:sz w:val="20"/>
              </w:rPr>
              <w:t>86.89%</w:t>
            </w:r>
          </w:p>
        </w:tc>
        <w:tc>
          <w:tcPr>
            <w:tcW w:type="dxa" w:w="1134"/>
            <w:vAlign w:val="center"/>
          </w:tcPr>
          <w:p>
            <w:pPr>
              <w:spacing w:line="240" w:lineRule="auto" w:after="0"/>
            </w:pPr>
            <w:r/>
            <w:r>
              <w:rPr>
                <w:rFonts w:ascii="Times New Roman" w:hAnsi="Times New Roman"/>
                <w:b w:val="0"/>
                <w:sz w:val="20"/>
              </w:rPr>
              <w:t>88.26%</w:t>
            </w:r>
          </w:p>
        </w:tc>
      </w:tr>
    </w:tbl>
    <w:p>
      <w:pPr>
        <w:spacing w:after="0"/>
      </w:pPr>
    </w:p>
    <w:p>
      <w:pPr>
        <w:spacing w:before="120"/>
        <w:ind w:firstLine="0"/>
        <w:jc w:val="center"/>
      </w:pPr>
      <w:r>
        <w:drawing>
          <wp:inline xmlns:a="http://schemas.openxmlformats.org/drawingml/2006/main" xmlns:pic="http://schemas.openxmlformats.org/drawingml/2006/picture">
            <wp:extent cx="5220000" cy="2566960"/>
            <wp:docPr id="18" name="Picture 18"/>
            <wp:cNvGraphicFramePr>
              <a:graphicFrameLocks noChangeAspect="1"/>
            </wp:cNvGraphicFramePr>
            <a:graphic>
              <a:graphicData uri="http://schemas.openxmlformats.org/drawingml/2006/picture">
                <pic:pic>
                  <pic:nvPicPr>
                    <pic:cNvPr id="0" name="04_baseline_comparison.png"/>
                    <pic:cNvPicPr/>
                  </pic:nvPicPr>
                  <pic:blipFill>
                    <a:blip r:embed="rId28"/>
                    <a:stretch>
                      <a:fillRect/>
                    </a:stretch>
                  </pic:blipFill>
                  <pic:spPr>
                    <a:xfrm>
                      <a:off x="0" y="0"/>
                      <a:ext cx="5220000" cy="2566960"/>
                    </a:xfrm>
                    <a:prstGeom prst="rect"/>
                  </pic:spPr>
                </pic:pic>
              </a:graphicData>
            </a:graphic>
          </wp:inline>
        </w:drawing>
      </w:r>
    </w:p>
    <w:p>
      <w:pPr>
        <w:pStyle w:val="FigureCaption"/>
      </w:pPr>
      <w:r>
        <w:t>Figure 4.19: Baseline model comparison</w:t>
      </w:r>
    </w:p>
    <w:p>
      <w:r>
        <w:t>The baseline comparison establishes the performance range of the initial classical classifiers. It provides the reference against which feature optimization, tuning, and transformer experiments were evaluated.</w:t>
      </w:r>
    </w:p>
    <w:p>
      <w:pPr>
        <w:spacing w:before="120"/>
        <w:ind w:firstLine="0"/>
        <w:jc w:val="center"/>
      </w:pPr>
      <w:r>
        <w:drawing>
          <wp:inline xmlns:a="http://schemas.openxmlformats.org/drawingml/2006/main" xmlns:pic="http://schemas.openxmlformats.org/drawingml/2006/picture">
            <wp:extent cx="5220000" cy="2326697"/>
            <wp:docPr id="19" name="Picture 19"/>
            <wp:cNvGraphicFramePr>
              <a:graphicFrameLocks noChangeAspect="1"/>
            </wp:cNvGraphicFramePr>
            <a:graphic>
              <a:graphicData uri="http://schemas.openxmlformats.org/drawingml/2006/picture">
                <pic:pic>
                  <pic:nvPicPr>
                    <pic:cNvPr id="0" name="05_feature_optimization.png"/>
                    <pic:cNvPicPr/>
                  </pic:nvPicPr>
                  <pic:blipFill>
                    <a:blip r:embed="rId29"/>
                    <a:stretch>
                      <a:fillRect/>
                    </a:stretch>
                  </pic:blipFill>
                  <pic:spPr>
                    <a:xfrm>
                      <a:off x="0" y="0"/>
                      <a:ext cx="5220000" cy="2326697"/>
                    </a:xfrm>
                    <a:prstGeom prst="rect"/>
                  </pic:spPr>
                </pic:pic>
              </a:graphicData>
            </a:graphic>
          </wp:inline>
        </w:drawing>
      </w:r>
    </w:p>
    <w:p>
      <w:pPr>
        <w:pStyle w:val="FigureCaption"/>
      </w:pPr>
      <w:r>
        <w:t>Figure 4.20: TF-IDF feature-configuration optimization</w:t>
      </w:r>
    </w:p>
    <w:p>
      <w:r>
        <w:t>Feature optimization evaluates alternative word-feature limits and n-gram ranges. The result supports a deliberate representation choice for classical baselines rather than reliance on an arbitrary vectorizer configuration.</w:t>
      </w:r>
    </w:p>
    <w:p>
      <w:pPr>
        <w:spacing w:before="120"/>
        <w:ind w:firstLine="0"/>
        <w:jc w:val="center"/>
      </w:pPr>
      <w:r>
        <w:drawing>
          <wp:inline xmlns:a="http://schemas.openxmlformats.org/drawingml/2006/main" xmlns:pic="http://schemas.openxmlformats.org/drawingml/2006/picture">
            <wp:extent cx="5220000" cy="2560855"/>
            <wp:docPr id="20" name="Picture 20"/>
            <wp:cNvGraphicFramePr>
              <a:graphicFrameLocks noChangeAspect="1"/>
            </wp:cNvGraphicFramePr>
            <a:graphic>
              <a:graphicData uri="http://schemas.openxmlformats.org/drawingml/2006/picture">
                <pic:pic>
                  <pic:nvPicPr>
                    <pic:cNvPr id="0" name="06_hyperparameter_tuning.png"/>
                    <pic:cNvPicPr/>
                  </pic:nvPicPr>
                  <pic:blipFill>
                    <a:blip r:embed="rId30"/>
                    <a:stretch>
                      <a:fillRect/>
                    </a:stretch>
                  </pic:blipFill>
                  <pic:spPr>
                    <a:xfrm>
                      <a:off x="0" y="0"/>
                      <a:ext cx="5220000" cy="2560855"/>
                    </a:xfrm>
                    <a:prstGeom prst="rect"/>
                  </pic:spPr>
                </pic:pic>
              </a:graphicData>
            </a:graphic>
          </wp:inline>
        </w:drawing>
      </w:r>
    </w:p>
    <w:p>
      <w:pPr>
        <w:pStyle w:val="FigureCaption"/>
      </w:pPr>
      <w:r>
        <w:t>Figure 4.21: Hyperparameter-tuning results</w:t>
      </w:r>
    </w:p>
    <w:p>
      <w:r>
        <w:t>Hyperparameter tuning refines the strongest classical configurations using validation evidence. Separating this step from final test evaluation reduces the risk of selecting parameters that merely fit the test partition.</w:t>
      </w:r>
    </w:p>
    <w:p>
      <w:pPr>
        <w:spacing w:before="120"/>
        <w:ind w:firstLine="0"/>
        <w:jc w:val="center"/>
      </w:pPr>
      <w:r>
        <w:drawing>
          <wp:inline xmlns:a="http://schemas.openxmlformats.org/drawingml/2006/main" xmlns:pic="http://schemas.openxmlformats.org/drawingml/2006/picture">
            <wp:extent cx="5220000" cy="1818605"/>
            <wp:docPr id="21" name="Picture 21"/>
            <wp:cNvGraphicFramePr>
              <a:graphicFrameLocks noChangeAspect="1"/>
            </wp:cNvGraphicFramePr>
            <a:graphic>
              <a:graphicData uri="http://schemas.openxmlformats.org/drawingml/2006/picture">
                <pic:pic>
                  <pic:nvPicPr>
                    <pic:cNvPr id="0" name="07_test_confusion_roc.png"/>
                    <pic:cNvPicPr/>
                  </pic:nvPicPr>
                  <pic:blipFill>
                    <a:blip r:embed="rId31"/>
                    <a:stretch>
                      <a:fillRect/>
                    </a:stretch>
                  </pic:blipFill>
                  <pic:spPr>
                    <a:xfrm>
                      <a:off x="0" y="0"/>
                      <a:ext cx="5220000" cy="1818605"/>
                    </a:xfrm>
                    <a:prstGeom prst="rect"/>
                  </pic:spPr>
                </pic:pic>
              </a:graphicData>
            </a:graphic>
          </wp:inline>
        </w:drawing>
      </w:r>
    </w:p>
    <w:p>
      <w:pPr>
        <w:pStyle w:val="FigureCaption"/>
      </w:pPr>
      <w:r>
        <w:t>Figure 4.22: Final test confusion matrix and ROC analysis</w:t>
      </w:r>
    </w:p>
    <w:p>
      <w:r>
        <w:t>The confusion matrix shows the distribution of correct and incorrect predictions by class, while the ROC curve summarizes discrimination across thresholds. These measures complement aggregate accuracy by exposing false-negative and false-positive behaviour.</w:t>
      </w:r>
    </w:p>
    <w:p>
      <w:pPr>
        <w:spacing w:before="120"/>
        <w:ind w:firstLine="0"/>
        <w:jc w:val="center"/>
      </w:pPr>
      <w:r>
        <w:drawing>
          <wp:inline xmlns:a="http://schemas.openxmlformats.org/drawingml/2006/main" xmlns:pic="http://schemas.openxmlformats.org/drawingml/2006/picture">
            <wp:extent cx="5220000" cy="2329109"/>
            <wp:docPr id="22" name="Picture 22"/>
            <wp:cNvGraphicFramePr>
              <a:graphicFrameLocks noChangeAspect="1"/>
            </wp:cNvGraphicFramePr>
            <a:graphic>
              <a:graphicData uri="http://schemas.openxmlformats.org/drawingml/2006/picture">
                <pic:pic>
                  <pic:nvPicPr>
                    <pic:cNvPr id="0" name="08_model_testing.png"/>
                    <pic:cNvPicPr/>
                  </pic:nvPicPr>
                  <pic:blipFill>
                    <a:blip r:embed="rId32"/>
                    <a:stretch>
                      <a:fillRect/>
                    </a:stretch>
                  </pic:blipFill>
                  <pic:spPr>
                    <a:xfrm>
                      <a:off x="0" y="0"/>
                      <a:ext cx="5220000" cy="2329109"/>
                    </a:xfrm>
                    <a:prstGeom prst="rect"/>
                  </pic:spPr>
                </pic:pic>
              </a:graphicData>
            </a:graphic>
          </wp:inline>
        </w:drawing>
      </w:r>
    </w:p>
    <w:p>
      <w:pPr>
        <w:pStyle w:val="FigureCaption"/>
      </w:pPr>
      <w:r>
        <w:t>Figure 4.23: Model testing and error inspection</w:t>
      </w:r>
    </w:p>
    <w:p>
      <w:r>
        <w:t>The testing figure summarizes final held-out performance and supports inspection of prediction behaviour. This stage is separated from training and validation to provide a less biased estimate of generalization.</w:t>
      </w:r>
    </w:p>
    <w:p>
      <w:pPr>
        <w:spacing w:before="120"/>
        <w:ind w:firstLine="0"/>
        <w:jc w:val="center"/>
      </w:pPr>
      <w:r>
        <w:drawing>
          <wp:inline xmlns:a="http://schemas.openxmlformats.org/drawingml/2006/main" xmlns:pic="http://schemas.openxmlformats.org/drawingml/2006/picture">
            <wp:extent cx="5220000" cy="2248390"/>
            <wp:docPr id="23" name="Picture 23"/>
            <wp:cNvGraphicFramePr>
              <a:graphicFrameLocks noChangeAspect="1"/>
            </wp:cNvGraphicFramePr>
            <a:graphic>
              <a:graphicData uri="http://schemas.openxmlformats.org/drawingml/2006/picture">
                <pic:pic>
                  <pic:nvPicPr>
                    <pic:cNvPr id="0" name="09_all_model_comparison.png"/>
                    <pic:cNvPicPr/>
                  </pic:nvPicPr>
                  <pic:blipFill>
                    <a:blip r:embed="rId33"/>
                    <a:stretch>
                      <a:fillRect/>
                    </a:stretch>
                  </pic:blipFill>
                  <pic:spPr>
                    <a:xfrm>
                      <a:off x="0" y="0"/>
                      <a:ext cx="5220000" cy="2248390"/>
                    </a:xfrm>
                    <a:prstGeom prst="rect"/>
                  </pic:spPr>
                </pic:pic>
              </a:graphicData>
            </a:graphic>
          </wp:inline>
        </w:drawing>
      </w:r>
    </w:p>
    <w:p>
      <w:pPr>
        <w:pStyle w:val="FigureCaption"/>
      </w:pPr>
      <w:r>
        <w:t>Figure 4.24: Overall comparison of all trained models</w:t>
      </w:r>
    </w:p>
    <w:p>
      <w:r>
        <w:t>The combined comparison demonstrates that the encoder-only SomBERTa variants outperform classical and recurrent/convolutional alternatives. SomBERTa-B provides the best overall balance and the highest crime recall.</w:t>
      </w:r>
    </w:p>
    <w:p>
      <w:pPr>
        <w:pStyle w:val="Heading1"/>
      </w:pPr>
      <w:r>
        <w:t>4.10 Interpretation and Discussion of Results</w:t>
      </w:r>
    </w:p>
    <w:p>
      <w:pPr>
        <w:pStyle w:val="Heading2"/>
      </w:pPr>
      <w:r>
        <w:t>4.10.1 Selection of the Final Model</w:t>
      </w:r>
    </w:p>
    <w:p>
      <w:r>
        <w:t>SomBERTa-B achieved 94.63% accuracy and a weighted F1-score of 94.61%, improving on the strongest classical accuracy result, Linear SVM at 91.71%, by approximately 2.92 percentage points. More importantly for the application domain, its crime recall reached 97.17%. Relative to Linear SVM, the transformer reduced the proportion of missed positive cases because its crime recall was 3.68 percentage points higher. Random Forest obtained 95.05% crime recall, but its lower precision and overall F1-score indicate a less balanced decision boundary.</w:t>
      </w:r>
    </w:p>
    <w:p>
      <w:r>
        <w:t>The performance advantage is consistent with the linguistic nature of the task. TF-IDF baselines represent surface word and n-gram frequency and perform strongly when crime vocabulary is explicit. SomBERTa-B can additionally model context and word use across a longer maximum sequence length of 256 tokens. This is valuable for Somali reports in which a crime term may occur within quotations, negation, background description, or code-mixed reporting. The result does not imply that transformers eliminate all errors; it shows that contextual representation was more effective for the evaluated corpus.</w:t>
      </w:r>
    </w:p>
    <w:p>
      <w:r>
        <w:t>Chapter Three documented Random Forest as an earlier deployment choice based on the classical experiment. The final artefacts and all-model comparison produced after the transformer experiments identify SomBERTa-B as the active deployed model. This chapter therefore reports SomBERTa-B as the final result. The change is a model-selection outcome rather than a contradiction in the research logic: Random Forest served as a strong classical benchmark, while subsequent controlled experiments yielded a superior model.</w:t>
      </w:r>
    </w:p>
    <w:p>
      <w:pPr>
        <w:pStyle w:val="Heading2"/>
      </w:pPr>
      <w:r>
        <w:t>4.10.2 Findings in Relation to the Research Objectives</w:t>
      </w:r>
    </w:p>
    <w:p>
      <w:pPr>
        <w:spacing w:line="240" w:lineRule="auto" w:after="80"/>
      </w:pPr>
      <w:r>
        <w:rPr>
          <w:rFonts w:ascii="Times New Roman" w:hAnsi="Times New Roman"/>
          <w:b/>
          <w:sz w:val="22"/>
        </w:rPr>
        <w:t>Table 4.8: Achievement of the specific research objectives</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2381"/>
            <w:vAlign w:val="center"/>
            <w:shd w:fill="D9EAF7"/>
          </w:tcPr>
          <w:p>
            <w:pPr>
              <w:spacing w:line="240" w:lineRule="auto" w:after="0"/>
            </w:pPr>
            <w:r/>
            <w:r>
              <w:rPr>
                <w:rFonts w:ascii="Times New Roman" w:hAnsi="Times New Roman"/>
                <w:b/>
                <w:sz w:val="20"/>
              </w:rPr>
              <w:t>Objective</w:t>
            </w:r>
          </w:p>
        </w:tc>
        <w:tc>
          <w:tcPr>
            <w:tcW w:type="dxa" w:w="3685"/>
            <w:vAlign w:val="center"/>
            <w:shd w:fill="D9EAF7"/>
          </w:tcPr>
          <w:p>
            <w:pPr>
              <w:spacing w:line="240" w:lineRule="auto" w:after="0"/>
            </w:pPr>
            <w:r/>
            <w:r>
              <w:rPr>
                <w:rFonts w:ascii="Times New Roman" w:hAnsi="Times New Roman"/>
                <w:b/>
                <w:sz w:val="20"/>
              </w:rPr>
              <w:t>Implementation evidence</w:t>
            </w:r>
          </w:p>
        </w:tc>
        <w:tc>
          <w:tcPr>
            <w:tcW w:type="dxa" w:w="2438"/>
            <w:vAlign w:val="center"/>
            <w:shd w:fill="D9EAF7"/>
          </w:tcPr>
          <w:p>
            <w:pPr>
              <w:spacing w:line="240" w:lineRule="auto" w:after="0"/>
            </w:pPr>
            <w:r/>
            <w:r>
              <w:rPr>
                <w:rFonts w:ascii="Times New Roman" w:hAnsi="Times New Roman"/>
                <w:b/>
                <w:sz w:val="20"/>
              </w:rPr>
              <w:t>Finding</w:t>
            </w:r>
          </w:p>
        </w:tc>
      </w:tr>
      <w:tr>
        <w:tc>
          <w:tcPr>
            <w:tcW w:type="dxa" w:w="2381"/>
            <w:vAlign w:val="center"/>
          </w:tcPr>
          <w:p>
            <w:pPr>
              <w:spacing w:line="240" w:lineRule="auto" w:after="0"/>
            </w:pPr>
            <w:r/>
            <w:r>
              <w:rPr>
                <w:rFonts w:ascii="Times New Roman" w:hAnsi="Times New Roman"/>
                <w:b w:val="0"/>
                <w:sz w:val="20"/>
              </w:rPr>
              <w:t>Reduce reliance on manual classification</w:t>
            </w:r>
          </w:p>
        </w:tc>
        <w:tc>
          <w:tcPr>
            <w:tcW w:type="dxa" w:w="3685"/>
            <w:vAlign w:val="center"/>
          </w:tcPr>
          <w:p>
            <w:pPr>
              <w:spacing w:line="240" w:lineRule="auto" w:after="0"/>
            </w:pPr>
            <w:r/>
            <w:r>
              <w:rPr>
                <w:rFonts w:ascii="Times New Roman" w:hAnsi="Times New Roman"/>
                <w:b w:val="0"/>
                <w:sz w:val="20"/>
              </w:rPr>
              <w:t>Automated input, prediction, history and escalation pipeline</w:t>
            </w:r>
          </w:p>
        </w:tc>
        <w:tc>
          <w:tcPr>
            <w:tcW w:type="dxa" w:w="2438"/>
            <w:vAlign w:val="center"/>
          </w:tcPr>
          <w:p>
            <w:pPr>
              <w:spacing w:line="240" w:lineRule="auto" w:after="0"/>
            </w:pPr>
            <w:r/>
            <w:r>
              <w:rPr>
                <w:rFonts w:ascii="Times New Roman" w:hAnsi="Times New Roman"/>
                <w:b w:val="0"/>
                <w:sz w:val="20"/>
              </w:rPr>
              <w:t>Initial triage is automated; human review is retained for investigation and verdict</w:t>
            </w:r>
          </w:p>
        </w:tc>
      </w:tr>
      <w:tr>
        <w:tc>
          <w:tcPr>
            <w:tcW w:type="dxa" w:w="2381"/>
            <w:vAlign w:val="center"/>
          </w:tcPr>
          <w:p>
            <w:pPr>
              <w:spacing w:line="240" w:lineRule="auto" w:after="0"/>
            </w:pPr>
            <w:r/>
            <w:r>
              <w:rPr>
                <w:rFonts w:ascii="Times New Roman" w:hAnsi="Times New Roman"/>
                <w:b w:val="0"/>
                <w:sz w:val="20"/>
              </w:rPr>
              <w:t>Collect and preprocess crime-related text</w:t>
            </w:r>
          </w:p>
        </w:tc>
        <w:tc>
          <w:tcPr>
            <w:tcW w:type="dxa" w:w="3685"/>
            <w:vAlign w:val="center"/>
          </w:tcPr>
          <w:p>
            <w:pPr>
              <w:spacing w:line="240" w:lineRule="auto" w:after="0"/>
            </w:pPr>
            <w:r/>
            <w:r>
              <w:rPr>
                <w:rFonts w:ascii="Times New Roman" w:hAnsi="Times New Roman"/>
                <w:b w:val="0"/>
                <w:sz w:val="20"/>
              </w:rPr>
              <w:t>9,999 labelled records; cleaning, duplicate control, Somali normalization and stratified splitting</w:t>
            </w:r>
          </w:p>
        </w:tc>
        <w:tc>
          <w:tcPr>
            <w:tcW w:type="dxa" w:w="2438"/>
            <w:vAlign w:val="center"/>
          </w:tcPr>
          <w:p>
            <w:pPr>
              <w:spacing w:line="240" w:lineRule="auto" w:after="0"/>
            </w:pPr>
            <w:r/>
            <w:r>
              <w:rPr>
                <w:rFonts w:ascii="Times New Roman" w:hAnsi="Times New Roman"/>
                <w:b w:val="0"/>
                <w:sz w:val="20"/>
              </w:rPr>
              <w:t>A balanced and leakage-aware corpus was prepared</w:t>
            </w:r>
          </w:p>
        </w:tc>
      </w:tr>
      <w:tr>
        <w:tc>
          <w:tcPr>
            <w:tcW w:type="dxa" w:w="2381"/>
            <w:vAlign w:val="center"/>
          </w:tcPr>
          <w:p>
            <w:pPr>
              <w:spacing w:line="240" w:lineRule="auto" w:after="0"/>
            </w:pPr>
            <w:r/>
            <w:r>
              <w:rPr>
                <w:rFonts w:ascii="Times New Roman" w:hAnsi="Times New Roman"/>
                <w:b w:val="0"/>
                <w:sz w:val="20"/>
              </w:rPr>
              <w:t>Extract and analyse key features</w:t>
            </w:r>
          </w:p>
        </w:tc>
        <w:tc>
          <w:tcPr>
            <w:tcW w:type="dxa" w:w="3685"/>
            <w:vAlign w:val="center"/>
          </w:tcPr>
          <w:p>
            <w:pPr>
              <w:spacing w:line="240" w:lineRule="auto" w:after="0"/>
            </w:pPr>
            <w:r/>
            <w:r>
              <w:rPr>
                <w:rFonts w:ascii="Times New Roman" w:hAnsi="Times New Roman"/>
                <w:b w:val="0"/>
                <w:sz w:val="20"/>
              </w:rPr>
              <w:t>TF-IDF n-grams, Somali stop words, transformer tokenization, keywords and locations</w:t>
            </w:r>
          </w:p>
        </w:tc>
        <w:tc>
          <w:tcPr>
            <w:tcW w:type="dxa" w:w="2438"/>
            <w:vAlign w:val="center"/>
          </w:tcPr>
          <w:p>
            <w:pPr>
              <w:spacing w:line="240" w:lineRule="auto" w:after="0"/>
            </w:pPr>
            <w:r/>
            <w:r>
              <w:rPr>
                <w:rFonts w:ascii="Times New Roman" w:hAnsi="Times New Roman"/>
                <w:b w:val="0"/>
                <w:sz w:val="20"/>
              </w:rPr>
              <w:t>Both statistical and contextual representations were evaluated</w:t>
            </w:r>
          </w:p>
        </w:tc>
      </w:tr>
      <w:tr>
        <w:tc>
          <w:tcPr>
            <w:tcW w:type="dxa" w:w="2381"/>
            <w:vAlign w:val="center"/>
          </w:tcPr>
          <w:p>
            <w:pPr>
              <w:spacing w:line="240" w:lineRule="auto" w:after="0"/>
            </w:pPr>
            <w:r/>
            <w:r>
              <w:rPr>
                <w:rFonts w:ascii="Times New Roman" w:hAnsi="Times New Roman"/>
                <w:b w:val="0"/>
                <w:sz w:val="20"/>
              </w:rPr>
              <w:t>Develop an automated NLP classification system</w:t>
            </w:r>
          </w:p>
        </w:tc>
        <w:tc>
          <w:tcPr>
            <w:tcW w:type="dxa" w:w="3685"/>
            <w:vAlign w:val="center"/>
          </w:tcPr>
          <w:p>
            <w:pPr>
              <w:spacing w:line="240" w:lineRule="auto" w:after="0"/>
            </w:pPr>
            <w:r/>
            <w:r>
              <w:rPr>
                <w:rFonts w:ascii="Times New Roman" w:hAnsi="Times New Roman"/>
                <w:b w:val="0"/>
                <w:sz w:val="20"/>
              </w:rPr>
              <w:t>SomBERTa-B Flask service integrated with Express, React and MongoDB</w:t>
            </w:r>
          </w:p>
        </w:tc>
        <w:tc>
          <w:tcPr>
            <w:tcW w:type="dxa" w:w="2438"/>
            <w:vAlign w:val="center"/>
          </w:tcPr>
          <w:p>
            <w:pPr>
              <w:spacing w:line="240" w:lineRule="auto" w:after="0"/>
            </w:pPr>
            <w:r/>
            <w:r>
              <w:rPr>
                <w:rFonts w:ascii="Times New Roman" w:hAnsi="Times New Roman"/>
                <w:b w:val="0"/>
                <w:sz w:val="20"/>
              </w:rPr>
              <w:t>A working end-to-end platform achieved 94.63% accuracy and 97.17% crime recall</w:t>
            </w:r>
          </w:p>
        </w:tc>
      </w:tr>
    </w:tbl>
    <w:p>
      <w:pPr>
        <w:spacing w:after="0"/>
      </w:pPr>
    </w:p>
    <w:p>
      <w:r>
        <w:t>Research Question One asked how reliance on manual classification could be reduced. The implemented pipeline answers this by automatically accepting digital text, applying language validation and preprocessing, producing a class prediction, and routing a positive record toward review. Manual effort is moved from repetitive first-pass reading to higher-value verification and investigation. Research Question Two concerned collection and preprocessing. The dataset profile, duplicate analysis, normalization, stop-word handling, and stratified partitions provide the answer. Research Question Three concerned feature extraction. The classical TF-IDF experiments and contextual transformer representations demonstrate two complementary approaches, while the result shows the advantage of contextual encoding. Research Question Four concerned development of the automated system; the operational interfaces, database records, model health result, role-specific logins, and case workflow constitute the implementation evidence.</w:t>
      </w:r>
    </w:p>
    <w:p>
      <w:pPr>
        <w:pStyle w:val="Heading2"/>
      </w:pPr>
      <w:r>
        <w:t>4.10.3 Operational Interpretation</w:t>
      </w:r>
    </w:p>
    <w:p>
      <w:r>
        <w:t>High crime recall is important because a false negative can prevent a potentially urgent report from reaching investigators. However, the system must not treat every model-positive output as proven criminal evidence. Predictions are decision-support signals and require authorized human review. The case workflow correctly preserves this distinction by enabling investigators to examine text and source context before recording a verdict. Likewise, audit logs and history reduce the risk of untraceable automated action.</w:t>
      </w:r>
    </w:p>
    <w:p>
      <w:r>
        <w:t>The live dashboard and Dataset Manager counts demonstrate that the solution operates across multiple sources rather than only laboratory test data. This increases practical relevance but introduces distribution shift: monitored news articles and social-media posts may differ from the training corpus in vocabulary, length, quoting style, and prevalence. Continuous error sampling and supervised re-evaluation are therefore necessary. The observed model score should be interpreted as held-out performance on the research dataset, not a permanent guarantee for every future online source.</w:t>
      </w:r>
    </w:p>
    <w:p>
      <w:pPr>
        <w:pStyle w:val="Heading1"/>
      </w:pPr>
      <w:r>
        <w:t>4.11 Limitations Observed During Implementation</w:t>
      </w:r>
    </w:p>
    <w:p>
      <w:pPr>
        <w:pStyle w:val="ListBullet"/>
        <w:spacing w:line="480" w:lineRule="auto"/>
        <w:ind w:left="720" w:hanging="357"/>
      </w:pPr>
      <w:r>
        <w:t>The corpus is sizeable for an undergraduate project but remains limited relative to the regional, dialectal, and topic diversity of Somali online language.</w:t>
      </w:r>
    </w:p>
    <w:p>
      <w:pPr>
        <w:pStyle w:val="ListBullet"/>
        <w:spacing w:line="480" w:lineRule="auto"/>
        <w:ind w:left="720" w:hanging="357"/>
      </w:pPr>
      <w:r>
        <w:t>Some source records were duplicated, and although duplicates were removed for final modelling, repeated reporting can still affect operational database statistics.</w:t>
      </w:r>
    </w:p>
    <w:p>
      <w:pPr>
        <w:pStyle w:val="ListBullet"/>
        <w:spacing w:line="480" w:lineRule="auto"/>
        <w:ind w:left="720" w:hanging="357"/>
      </w:pPr>
      <w:r>
        <w:t>Binary labels distinguish crime-related from not crime-related but do not identify specific offence categories, severity, credibility, or urgency.</w:t>
      </w:r>
    </w:p>
    <w:p>
      <w:pPr>
        <w:pStyle w:val="ListBullet"/>
        <w:spacing w:line="480" w:lineRule="auto"/>
        <w:ind w:left="720" w:hanging="357"/>
      </w:pPr>
      <w:r>
        <w:t>The classifier may be influenced by quoted crime terms in ordinary news, negation, sarcasm, spelling variation, and Somali-English code mixing.</w:t>
      </w:r>
    </w:p>
    <w:p>
      <w:pPr>
        <w:pStyle w:val="ListBullet"/>
        <w:spacing w:line="480" w:lineRule="auto"/>
        <w:ind w:left="720" w:hanging="357"/>
      </w:pPr>
      <w:r>
        <w:t>Facebook and website monitoring depend on page structure and network availability; changes to external websites may interrupt extraction.</w:t>
      </w:r>
    </w:p>
    <w:p>
      <w:pPr>
        <w:pStyle w:val="ListBullet"/>
        <w:spacing w:line="480" w:lineRule="auto"/>
        <w:ind w:left="720" w:hanging="357"/>
      </w:pPr>
      <w:r>
        <w:t>The automated unit-test suite currently covers only a small part of the rule layer. Broader API, security, accessibility, load, and regression suites are required before institutional deployment.</w:t>
      </w:r>
    </w:p>
    <w:p>
      <w:pPr>
        <w:pStyle w:val="ListBullet"/>
        <w:spacing w:line="480" w:lineRule="auto"/>
        <w:ind w:left="720" w:hanging="357"/>
      </w:pPr>
      <w:r>
        <w:t>The live operational sample is not a controlled user-acceptance study, so usability effectiveness and time savings were not quantified with police personnel.</w:t>
      </w:r>
    </w:p>
    <w:p>
      <w:pPr>
        <w:pStyle w:val="ListBullet"/>
        <w:spacing w:line="480" w:lineRule="auto"/>
        <w:ind w:left="720" w:hanging="357"/>
      </w:pPr>
      <w:r>
        <w:t>Predictions are not legal determinations and must remain subject to authorized human review, data-protection policy, and evidential standards.</w:t>
      </w:r>
    </w:p>
    <w:p>
      <w:pPr>
        <w:pStyle w:val="Heading1"/>
      </w:pPr>
      <w:r>
        <w:t>4.12 Chapter Summary</w:t>
      </w:r>
    </w:p>
    <w:p>
      <w:r>
        <w:t>This chapter presented the complete implementation and results of BAREAI. The system integrated a React interface, Express application layer, Flask inference service, and MongoDB persistence with role-based workspaces for administrators, investigators, and the Dataset Manager. The source dataset comprised 9,999 balanced records, and duplicate-aware preparation supported comparative experiments across classical, deep-learning, and transformer models. SomBERTa-B achieved the strongest outcome with 94.63% accuracy, 94.61% F1-score, and 97.17% crime recall, and it was verified as the active transformer service. Functional evidence showed successful authentication, public analysis, dashboards, cases, reports, notifications, audit records, and dataset exports. The findings satisfy the study objectives while also revealing limitations in dataset breadth, automated testing, operational drift, and the need for human oversight.</w:t>
      </w:r>
    </w:p>
    <w:p>
      <w:r>
        <w:br w:type="page"/>
      </w:r>
    </w:p>
    <w:p>
      <w:pPr>
        <w:spacing w:after="360"/>
        <w:ind w:firstLine="0"/>
        <w:jc w:val="center"/>
      </w:pPr>
      <w:r>
        <w:rPr>
          <w:rFonts w:ascii="Times New Roman" w:hAnsi="Times New Roman"/>
          <w:b/>
          <w:sz w:val="32"/>
        </w:rPr>
        <w:t>CHAPTER V: CONCLUSION AND RECOMMENDATIONS</w:t>
      </w:r>
    </w:p>
    <w:p>
      <w:pPr>
        <w:pStyle w:val="Heading1"/>
      </w:pPr>
      <w:r>
        <w:t>5.1 Introduction</w:t>
      </w:r>
    </w:p>
    <w:p>
      <w:r>
        <w:t>This chapter concludes the study on the automatic classification of crime-related text reports using Natural Language Processing. It summarizes the research problem, methodology, implementation, and principal findings; states the contribution to knowledge and practice; presents the final conclusion; and proposes recommendations and future work. The conclusions are limited to the evidence reported in the preceding chapters and do not treat machine predictions as replacements for professional investigation or legal judgment.</w:t>
      </w:r>
    </w:p>
    <w:p>
      <w:pPr>
        <w:pStyle w:val="Heading1"/>
      </w:pPr>
      <w:r>
        <w:t>5.2 Summary of the Study</w:t>
      </w:r>
    </w:p>
    <w:p>
      <w:r>
        <w:t>The study was motivated by the growing volume of unstructured crime-related information distributed through social media, online news, digital forms, and other channels. In Somalia, manual review of such material is slow, difficult to scale, and vulnerable to fatigue and inconsistent categorization. The general objective was therefore to develop and implement an intelligent automated framework that uses machine learning and NLP to support high-speed classification while improving operational efficiency and data integrity.</w:t>
      </w:r>
    </w:p>
    <w:p>
      <w:r>
        <w:t>The work combined a CRISP-DM-oriented machine-learning process with iterative full-stack software development. A labelled binary dataset was assessed, cleaned, deduplicated, normalized, and divided using stratified partitions. TF-IDF classical classifiers, convolutional and recurrent neural networks, and SomBERTa encoder models were evaluated. The strongest model was packaged as an independent inference service and integrated into the BAREAI platform. The full system provided public Somali analysis, authentication, dashboard analytics, user and blacklist administration, monitoring, case management, reporting, notifications, audit logs, and a private dataset-governance workspace.</w:t>
      </w:r>
    </w:p>
    <w:p>
      <w:pPr>
        <w:pStyle w:val="Heading1"/>
      </w:pPr>
      <w:r>
        <w:t>5.3 Summary of Findings</w:t>
      </w:r>
    </w:p>
    <w:p>
      <w:pPr>
        <w:pStyle w:val="ListBullet"/>
        <w:spacing w:line="480" w:lineRule="auto"/>
        <w:ind w:left="720" w:hanging="357"/>
      </w:pPr>
      <w:r>
        <w:t>The raw dataset contained 9,999 labelled text reports and was almost perfectly balanced between the two classes. A total of 1,384 duplicated text entries required control to avoid evaluation leakage.</w:t>
      </w:r>
    </w:p>
    <w:p>
      <w:pPr>
        <w:pStyle w:val="ListBullet"/>
        <w:spacing w:line="480" w:lineRule="auto"/>
        <w:ind w:left="720" w:hanging="357"/>
      </w:pPr>
      <w:r>
        <w:t>Classical NLP provided strong baselines. Linear SVM achieved 91.71% accuracy, while Random Forest reached 95.05% crime recall.</w:t>
      </w:r>
    </w:p>
    <w:p>
      <w:pPr>
        <w:pStyle w:val="ListBullet"/>
        <w:spacing w:line="480" w:lineRule="auto"/>
        <w:ind w:left="720" w:hanging="357"/>
      </w:pPr>
      <w:r>
        <w:t>SomBERTa-B produced the best overall result, with 94.63% accuracy, 94.61% weighted F1-score, and 97.17% crime recall. It exceeded the strongest classical accuracy result by approximately 2.92 percentage points.</w:t>
      </w:r>
    </w:p>
    <w:p>
      <w:pPr>
        <w:pStyle w:val="ListBullet"/>
        <w:spacing w:line="480" w:lineRule="auto"/>
        <w:ind w:left="720" w:hanging="357"/>
      </w:pPr>
      <w:r>
        <w:t>The final model was successfully loaded through the Flask inference service and integrated with the Express backend, React frontend, and MongoDB database.</w:t>
      </w:r>
    </w:p>
    <w:p>
      <w:pPr>
        <w:pStyle w:val="ListBullet"/>
        <w:spacing w:line="480" w:lineRule="auto"/>
        <w:ind w:left="720" w:hanging="357"/>
      </w:pPr>
      <w:r>
        <w:t>The system automated the path from text acquisition to prediction, enrichment, storage, notification, and potential investigation while retaining human review for case decisions.</w:t>
      </w:r>
    </w:p>
    <w:p>
      <w:pPr>
        <w:pStyle w:val="ListBullet"/>
        <w:spacing w:line="480" w:lineRule="auto"/>
        <w:ind w:left="720" w:hanging="357"/>
      </w:pPr>
      <w:r>
        <w:t>Role-based access operated successfully for administrator, investigator, and Dataset Manager accounts, with materially different navigation and permissions.</w:t>
      </w:r>
    </w:p>
    <w:p>
      <w:pPr>
        <w:pStyle w:val="ListBullet"/>
        <w:spacing w:line="480" w:lineRule="auto"/>
        <w:ind w:left="720" w:hanging="357"/>
      </w:pPr>
      <w:r>
        <w:t>Live operational data was visible through dashboard charts, case records, audit logs, and the dataset table, demonstrating that the project progressed beyond notebook-only experimentation.</w:t>
      </w:r>
    </w:p>
    <w:p>
      <w:pPr>
        <w:pStyle w:val="ListBullet"/>
        <w:spacing w:line="480" w:lineRule="auto"/>
        <w:ind w:left="720" w:hanging="357"/>
      </w:pPr>
      <w:r>
        <w:t>The system’s principal remaining risks are linguistic and source distribution shift, binary-label limitations, dependence on changing external pages, incomplete automated test coverage, and the ethical consequences of false decisions.</w:t>
      </w:r>
    </w:p>
    <w:p>
      <w:pPr>
        <w:pStyle w:val="Heading1"/>
      </w:pPr>
      <w:r>
        <w:t>5.4 Contribution to Knowledge and Practice</w:t>
      </w:r>
    </w:p>
    <w:p>
      <w:r>
        <w:t>The research contributes an applied evaluation of contextual and non-contextual NLP approaches for Somali crime-related text classification. The comparative evidence shows that a Somali-oriented encoder model can improve both overall classification and positive-class recall over strong TF-IDF baselines on the evaluated corpus. The study also contributes a reproducible implementation pattern in which machine learning is isolated as a service and connected to an auditable, role-based operational workflow.</w:t>
      </w:r>
    </w:p>
    <w:p>
      <w:r>
        <w:t>From a practical perspective, BAREAI demonstrates how automated triage can support security personnel without removing professional judgment. Its contribution is not solely the numerical model score; it is the integration of classification with source extraction, Somali keyword and location enrichment, blacklist monitoring, notification, case ownership, reports, dataset export, and auditability. This combination addresses the gap between experimental text classification and the daily information-management needs of a security organization.</w:t>
      </w:r>
    </w:p>
    <w:p>
      <w:pPr>
        <w:pStyle w:val="Heading1"/>
      </w:pPr>
      <w:r>
        <w:t>5.5 Conclusion</w:t>
      </w:r>
    </w:p>
    <w:p>
      <w:r>
        <w:t>The study concludes that Natural Language Processing can substantially reduce the first-pass manual burden involved in classifying Somali crime-related text reports. The empirical comparison demonstrates that contextual representation is advantageous for this task: SomBERTa-B achieved the best measured balance of accuracy, F1-score, and crime recall. The implemented platform further shows that the model can be deployed within a functional information system rather than remaining confined to an experimental notebook.</w:t>
      </w:r>
    </w:p>
    <w:p>
      <w:r>
        <w:t>All four specific objectives were achieved. Manual triage was reduced through an automated pipeline; crime-related data was collected and prepared; statistical and contextual features were extracted and evaluated; and a complete NLP-enabled web platform was developed. The general objective was therefore met within the stated binary-classification scope. Nevertheless, responsible interpretation is essential. A score of 94.63% accuracy still implies errors, and the cost of a missed crime report or an incorrectly flagged person can be significant. BAREAI should consequently be used as a prioritization and decision-support tool under trained human supervision, not as an autonomous legal authority.</w:t>
      </w:r>
    </w:p>
    <w:p>
      <w:pPr>
        <w:pStyle w:val="Heading1"/>
      </w:pPr>
      <w:r>
        <w:t>5.6 Recommendations</w:t>
      </w:r>
    </w:p>
    <w:p>
      <w:pPr>
        <w:pStyle w:val="Heading2"/>
      </w:pPr>
      <w:r>
        <w:t>5.6.1 Recommendations for Dataset and Model Improvement</w:t>
      </w:r>
    </w:p>
    <w:p>
      <w:pPr>
        <w:pStyle w:val="ListBullet"/>
        <w:spacing w:line="480" w:lineRule="auto"/>
        <w:ind w:left="720" w:hanging="357"/>
      </w:pPr>
      <w:r>
        <w:t>Expand the corpus through ethically governed partnerships with Somali security, media, and research institutions, ensuring representation of regions, dialects, spelling variants, and source types.</w:t>
      </w:r>
    </w:p>
    <w:p>
      <w:pPr>
        <w:pStyle w:val="ListBullet"/>
        <w:spacing w:line="480" w:lineRule="auto"/>
        <w:ind w:left="720" w:hanging="357"/>
      </w:pPr>
      <w:r>
        <w:t>Introduce hierarchical or multi-label offence categories such as homicide, assault, theft, kidnapping, terrorism, cybercrime, fraud, and drug-related crime, while retaining the binary triage layer.</w:t>
      </w:r>
    </w:p>
    <w:p>
      <w:pPr>
        <w:pStyle w:val="ListBullet"/>
        <w:spacing w:line="480" w:lineRule="auto"/>
        <w:ind w:left="720" w:hanging="357"/>
      </w:pPr>
      <w:r>
        <w:t>Establish a documented annotation protocol with multiple trained annotators and report inter-annotator agreement before using new labels for training.</w:t>
      </w:r>
    </w:p>
    <w:p>
      <w:pPr>
        <w:pStyle w:val="ListBullet"/>
        <w:spacing w:line="480" w:lineRule="auto"/>
        <w:ind w:left="720" w:hanging="357"/>
      </w:pPr>
      <w:r>
        <w:t>Maintain strict duplicate and near-duplicate controls before data splitting and preserve an immutable external test set for periodic comparison.</w:t>
      </w:r>
    </w:p>
    <w:p>
      <w:pPr>
        <w:pStyle w:val="ListBullet"/>
        <w:spacing w:line="480" w:lineRule="auto"/>
        <w:ind w:left="720" w:hanging="357"/>
      </w:pPr>
      <w:r>
        <w:t>Calibrate probability outputs and define thresholds based on the different operational costs of false negatives and false positives rather than using accuracy alone.</w:t>
      </w:r>
    </w:p>
    <w:p>
      <w:pPr>
        <w:pStyle w:val="ListBullet"/>
        <w:spacing w:line="480" w:lineRule="auto"/>
        <w:ind w:left="720" w:hanging="357"/>
      </w:pPr>
      <w:r>
        <w:t>Implement drift monitoring and schedule re-evaluation when vocabulary, sources, or performance distributions change.</w:t>
      </w:r>
    </w:p>
    <w:p>
      <w:pPr>
        <w:pStyle w:val="Heading2"/>
      </w:pPr>
      <w:r>
        <w:t>5.6.2 Recommendations for System and Security Improvement</w:t>
      </w:r>
    </w:p>
    <w:p>
      <w:pPr>
        <w:pStyle w:val="ListBullet"/>
        <w:spacing w:line="480" w:lineRule="auto"/>
        <w:ind w:left="720" w:hanging="357"/>
      </w:pPr>
      <w:r>
        <w:t>Deploy all services behind HTTPS, rotate secrets, use a managed secret store, and prohibit inclusion of passwords or tokens in academic documents, screenshots, logs, and source control.</w:t>
      </w:r>
    </w:p>
    <w:p>
      <w:pPr>
        <w:pStyle w:val="ListBullet"/>
        <w:spacing w:line="480" w:lineRule="auto"/>
        <w:ind w:left="720" w:hanging="357"/>
      </w:pPr>
      <w:r>
        <w:t>Add comprehensive automated tests for authentication, authorization, analysis APIs, file processing, monitoring, case transitions, exports, accessibility, and regression behaviour.</w:t>
      </w:r>
    </w:p>
    <w:p>
      <w:pPr>
        <w:pStyle w:val="ListBullet"/>
        <w:spacing w:line="480" w:lineRule="auto"/>
        <w:ind w:left="720" w:hanging="357"/>
      </w:pPr>
      <w:r>
        <w:t>Conduct independent penetration testing and security review before handling real sensitive or personally identifiable information.</w:t>
      </w:r>
    </w:p>
    <w:p>
      <w:pPr>
        <w:pStyle w:val="ListBullet"/>
        <w:spacing w:line="480" w:lineRule="auto"/>
        <w:ind w:left="720" w:hanging="357"/>
      </w:pPr>
      <w:r>
        <w:t>Define data-retention, deletion, access-review, incident-response, and model-governance policies aligned with applicable Somali law and institutional policy.</w:t>
      </w:r>
    </w:p>
    <w:p>
      <w:pPr>
        <w:pStyle w:val="ListBullet"/>
        <w:spacing w:line="480" w:lineRule="auto"/>
        <w:ind w:left="720" w:hanging="357"/>
      </w:pPr>
      <w:r>
        <w:t>Record the model name, model integrity identifier, threshold, fallback status, and preprocessing version with every prediction to strengthen reproducibility.</w:t>
      </w:r>
    </w:p>
    <w:p>
      <w:pPr>
        <w:pStyle w:val="ListBullet"/>
        <w:spacing w:line="480" w:lineRule="auto"/>
        <w:ind w:left="720" w:hanging="357"/>
      </w:pPr>
      <w:r>
        <w:t>Use robust job queues and retry controls for monitoring and notifications, with clear failure states rather than silent loss of work.</w:t>
      </w:r>
    </w:p>
    <w:p>
      <w:pPr>
        <w:pStyle w:val="Heading2"/>
      </w:pPr>
      <w:r>
        <w:t>5.6.3 Recommendations for Organizational Adoption</w:t>
      </w:r>
    </w:p>
    <w:p>
      <w:pPr>
        <w:pStyle w:val="ListBullet"/>
        <w:spacing w:line="480" w:lineRule="auto"/>
        <w:ind w:left="720" w:hanging="357"/>
      </w:pPr>
      <w:r>
        <w:t>Pilot the platform with a small trained team and measure classification time, review time, error correction, and investigator satisfaction against the current manual process.</w:t>
      </w:r>
    </w:p>
    <w:p>
      <w:pPr>
        <w:pStyle w:val="ListBullet"/>
        <w:spacing w:line="480" w:lineRule="auto"/>
        <w:ind w:left="720" w:hanging="357"/>
      </w:pPr>
      <w:r>
        <w:t>Create standard operating procedures that specify who may review, escalate, assign, resolve, export, and delete records.</w:t>
      </w:r>
    </w:p>
    <w:p>
      <w:pPr>
        <w:pStyle w:val="ListBullet"/>
        <w:spacing w:line="480" w:lineRule="auto"/>
        <w:ind w:left="720" w:hanging="357"/>
      </w:pPr>
      <w:r>
        <w:t>Provide investigators with guidance on model limitations, confidence interpretation, false positives, false negatives, and confirmation bias.</w:t>
      </w:r>
    </w:p>
    <w:p>
      <w:pPr>
        <w:pStyle w:val="ListBullet"/>
        <w:spacing w:line="480" w:lineRule="auto"/>
        <w:ind w:left="720" w:hanging="357"/>
      </w:pPr>
      <w:r>
        <w:t>Require human confirmation before a prediction influences enforcement, public accusation, or adverse action against an individual.</w:t>
      </w:r>
    </w:p>
    <w:p>
      <w:pPr>
        <w:pStyle w:val="ListBullet"/>
        <w:spacing w:line="480" w:lineRule="auto"/>
        <w:ind w:left="720" w:hanging="357"/>
      </w:pPr>
      <w:r>
        <w:t>Establish a periodic multidisciplinary review involving security professionals, Somali-language experts, data scientists, legal advisers, and ethics representatives.</w:t>
      </w:r>
    </w:p>
    <w:p>
      <w:pPr>
        <w:pStyle w:val="Heading1"/>
      </w:pPr>
      <w:r>
        <w:t>5.7 Future Work</w:t>
      </w:r>
    </w:p>
    <w:p>
      <w:r>
        <w:t>Future research should extend the binary classifier into a multi-stage intelligence model. The first stage may retain high-recall crime screening; subsequent stages could estimate offence type, urgency, location, named entities, credibility, and whether the report describes an event, opinion, quotation, or historical context. A multi-task Somali transformer could share linguistic representations across these tasks while separate confidence thresholds protect each operational decision.</w:t>
      </w:r>
    </w:p>
    <w:p>
      <w:r>
        <w:t>Further work should also evaluate explainability techniques suitable for Somali text, including highlighted evidence spans, counterfactual tests, and example-based explanations. Explanations must be assessed with investigators to determine whether they improve decision quality rather than merely appearing persuasive. Active learning could prioritize uncertain or novel reports for expert annotation, thereby improving the dataset efficiently. Federated or privacy-preserving learning may be investigated where agencies cannot centralize sensitive text.</w:t>
      </w:r>
    </w:p>
    <w:p>
      <w:r>
        <w:t>On the system side, production deployment should introduce containerization, continuous integration, model and API monitoring, structured observability, automated backups, disaster recovery, and horizontal scaling. Monitoring connectors should use stable authorized APIs wherever possible. Mobile-friendly field interfaces and offline synchronization could extend the platform to low-connectivity environments. Finally, a controlled user study with law-enforcement professionals should quantify task completion time, usability, trust calibration, and the real operational effect of automated triage.</w:t>
      </w:r>
    </w:p>
    <w:p>
      <w:pPr>
        <w:spacing w:line="240" w:lineRule="auto" w:after="80"/>
      </w:pPr>
      <w:r>
        <w:rPr>
          <w:rFonts w:ascii="Times New Roman" w:hAnsi="Times New Roman"/>
          <w:b/>
          <w:sz w:val="22"/>
        </w:rPr>
        <w:t>Table 5.1: Prioritized future-work roadmap</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1304"/>
            <w:vAlign w:val="center"/>
            <w:shd w:fill="D9EAF7"/>
          </w:tcPr>
          <w:p>
            <w:pPr>
              <w:spacing w:line="240" w:lineRule="auto" w:after="0"/>
            </w:pPr>
            <w:r/>
            <w:r>
              <w:rPr>
                <w:rFonts w:ascii="Times New Roman" w:hAnsi="Times New Roman"/>
                <w:b/>
                <w:sz w:val="20"/>
              </w:rPr>
              <w:t>Priority</w:t>
            </w:r>
          </w:p>
        </w:tc>
        <w:tc>
          <w:tcPr>
            <w:tcW w:type="dxa" w:w="4082"/>
            <w:vAlign w:val="center"/>
            <w:shd w:fill="D9EAF7"/>
          </w:tcPr>
          <w:p>
            <w:pPr>
              <w:spacing w:line="240" w:lineRule="auto" w:after="0"/>
            </w:pPr>
            <w:r/>
            <w:r>
              <w:rPr>
                <w:rFonts w:ascii="Times New Roman" w:hAnsi="Times New Roman"/>
                <w:b/>
                <w:sz w:val="20"/>
              </w:rPr>
              <w:t>Proposed work</w:t>
            </w:r>
          </w:p>
        </w:tc>
        <w:tc>
          <w:tcPr>
            <w:tcW w:type="dxa" w:w="2835"/>
            <w:vAlign w:val="center"/>
            <w:shd w:fill="D9EAF7"/>
          </w:tcPr>
          <w:p>
            <w:pPr>
              <w:spacing w:line="240" w:lineRule="auto" w:after="0"/>
            </w:pPr>
            <w:r/>
            <w:r>
              <w:rPr>
                <w:rFonts w:ascii="Times New Roman" w:hAnsi="Times New Roman"/>
                <w:b/>
                <w:sz w:val="20"/>
              </w:rPr>
              <w:t>Expected value</w:t>
            </w:r>
          </w:p>
        </w:tc>
      </w:tr>
      <w:tr>
        <w:tc>
          <w:tcPr>
            <w:tcW w:type="dxa" w:w="1304"/>
            <w:vAlign w:val="center"/>
          </w:tcPr>
          <w:p>
            <w:pPr>
              <w:spacing w:line="240" w:lineRule="auto" w:after="0"/>
            </w:pPr>
            <w:r/>
            <w:r>
              <w:rPr>
                <w:rFonts w:ascii="Times New Roman" w:hAnsi="Times New Roman"/>
                <w:b w:val="0"/>
                <w:sz w:val="20"/>
              </w:rPr>
              <w:t>High</w:t>
            </w:r>
          </w:p>
        </w:tc>
        <w:tc>
          <w:tcPr>
            <w:tcW w:type="dxa" w:w="4082"/>
            <w:vAlign w:val="center"/>
          </w:tcPr>
          <w:p>
            <w:pPr>
              <w:spacing w:line="240" w:lineRule="auto" w:after="0"/>
            </w:pPr>
            <w:r/>
            <w:r>
              <w:rPr>
                <w:rFonts w:ascii="Times New Roman" w:hAnsi="Times New Roman"/>
                <w:b w:val="0"/>
                <w:sz w:val="20"/>
              </w:rPr>
              <w:t>Larger multi-region annotated corpus and independent test set</w:t>
            </w:r>
          </w:p>
        </w:tc>
        <w:tc>
          <w:tcPr>
            <w:tcW w:type="dxa" w:w="2835"/>
            <w:vAlign w:val="center"/>
          </w:tcPr>
          <w:p>
            <w:pPr>
              <w:spacing w:line="240" w:lineRule="auto" w:after="0"/>
            </w:pPr>
            <w:r/>
            <w:r>
              <w:rPr>
                <w:rFonts w:ascii="Times New Roman" w:hAnsi="Times New Roman"/>
                <w:b w:val="0"/>
                <w:sz w:val="20"/>
              </w:rPr>
              <w:t>Improves generalization and credibility</w:t>
            </w:r>
          </w:p>
        </w:tc>
      </w:tr>
      <w:tr>
        <w:tc>
          <w:tcPr>
            <w:tcW w:type="dxa" w:w="1304"/>
            <w:vAlign w:val="center"/>
          </w:tcPr>
          <w:p>
            <w:pPr>
              <w:spacing w:line="240" w:lineRule="auto" w:after="0"/>
            </w:pPr>
            <w:r/>
            <w:r>
              <w:rPr>
                <w:rFonts w:ascii="Times New Roman" w:hAnsi="Times New Roman"/>
                <w:b w:val="0"/>
                <w:sz w:val="20"/>
              </w:rPr>
              <w:t>High</w:t>
            </w:r>
          </w:p>
        </w:tc>
        <w:tc>
          <w:tcPr>
            <w:tcW w:type="dxa" w:w="4082"/>
            <w:vAlign w:val="center"/>
          </w:tcPr>
          <w:p>
            <w:pPr>
              <w:spacing w:line="240" w:lineRule="auto" w:after="0"/>
            </w:pPr>
            <w:r/>
            <w:r>
              <w:rPr>
                <w:rFonts w:ascii="Times New Roman" w:hAnsi="Times New Roman"/>
                <w:b w:val="0"/>
                <w:sz w:val="20"/>
              </w:rPr>
              <w:t>Expanded automated security and regression testing</w:t>
            </w:r>
          </w:p>
        </w:tc>
        <w:tc>
          <w:tcPr>
            <w:tcW w:type="dxa" w:w="2835"/>
            <w:vAlign w:val="center"/>
          </w:tcPr>
          <w:p>
            <w:pPr>
              <w:spacing w:line="240" w:lineRule="auto" w:after="0"/>
            </w:pPr>
            <w:r/>
            <w:r>
              <w:rPr>
                <w:rFonts w:ascii="Times New Roman" w:hAnsi="Times New Roman"/>
                <w:b w:val="0"/>
                <w:sz w:val="20"/>
              </w:rPr>
              <w:t>Reduces deployment risk</w:t>
            </w:r>
          </w:p>
        </w:tc>
      </w:tr>
      <w:tr>
        <w:tc>
          <w:tcPr>
            <w:tcW w:type="dxa" w:w="1304"/>
            <w:vAlign w:val="center"/>
          </w:tcPr>
          <w:p>
            <w:pPr>
              <w:spacing w:line="240" w:lineRule="auto" w:after="0"/>
            </w:pPr>
            <w:r/>
            <w:r>
              <w:rPr>
                <w:rFonts w:ascii="Times New Roman" w:hAnsi="Times New Roman"/>
                <w:b w:val="0"/>
                <w:sz w:val="20"/>
              </w:rPr>
              <w:t>High</w:t>
            </w:r>
          </w:p>
        </w:tc>
        <w:tc>
          <w:tcPr>
            <w:tcW w:type="dxa" w:w="4082"/>
            <w:vAlign w:val="center"/>
          </w:tcPr>
          <w:p>
            <w:pPr>
              <w:spacing w:line="240" w:lineRule="auto" w:after="0"/>
            </w:pPr>
            <w:r/>
            <w:r>
              <w:rPr>
                <w:rFonts w:ascii="Times New Roman" w:hAnsi="Times New Roman"/>
                <w:b w:val="0"/>
                <w:sz w:val="20"/>
              </w:rPr>
              <w:t>Human-in-the-loop pilot with measured outcomes</w:t>
            </w:r>
          </w:p>
        </w:tc>
        <w:tc>
          <w:tcPr>
            <w:tcW w:type="dxa" w:w="2835"/>
            <w:vAlign w:val="center"/>
          </w:tcPr>
          <w:p>
            <w:pPr>
              <w:spacing w:line="240" w:lineRule="auto" w:after="0"/>
            </w:pPr>
            <w:r/>
            <w:r>
              <w:rPr>
                <w:rFonts w:ascii="Times New Roman" w:hAnsi="Times New Roman"/>
                <w:b w:val="0"/>
                <w:sz w:val="20"/>
              </w:rPr>
              <w:t>Validates practical benefit and safe procedures</w:t>
            </w:r>
          </w:p>
        </w:tc>
      </w:tr>
      <w:tr>
        <w:tc>
          <w:tcPr>
            <w:tcW w:type="dxa" w:w="1304"/>
            <w:vAlign w:val="center"/>
          </w:tcPr>
          <w:p>
            <w:pPr>
              <w:spacing w:line="240" w:lineRule="auto" w:after="0"/>
            </w:pPr>
            <w:r/>
            <w:r>
              <w:rPr>
                <w:rFonts w:ascii="Times New Roman" w:hAnsi="Times New Roman"/>
                <w:b w:val="0"/>
                <w:sz w:val="20"/>
              </w:rPr>
              <w:t>Medium</w:t>
            </w:r>
          </w:p>
        </w:tc>
        <w:tc>
          <w:tcPr>
            <w:tcW w:type="dxa" w:w="4082"/>
            <w:vAlign w:val="center"/>
          </w:tcPr>
          <w:p>
            <w:pPr>
              <w:spacing w:line="240" w:lineRule="auto" w:after="0"/>
            </w:pPr>
            <w:r/>
            <w:r>
              <w:rPr>
                <w:rFonts w:ascii="Times New Roman" w:hAnsi="Times New Roman"/>
                <w:b w:val="0"/>
                <w:sz w:val="20"/>
              </w:rPr>
              <w:t>Multi-label crime type, urgency and credibility models</w:t>
            </w:r>
          </w:p>
        </w:tc>
        <w:tc>
          <w:tcPr>
            <w:tcW w:type="dxa" w:w="2835"/>
            <w:vAlign w:val="center"/>
          </w:tcPr>
          <w:p>
            <w:pPr>
              <w:spacing w:line="240" w:lineRule="auto" w:after="0"/>
            </w:pPr>
            <w:r/>
            <w:r>
              <w:rPr>
                <w:rFonts w:ascii="Times New Roman" w:hAnsi="Times New Roman"/>
                <w:b w:val="0"/>
                <w:sz w:val="20"/>
              </w:rPr>
              <w:t>Produces richer prioritization</w:t>
            </w:r>
          </w:p>
        </w:tc>
      </w:tr>
      <w:tr>
        <w:tc>
          <w:tcPr>
            <w:tcW w:type="dxa" w:w="1304"/>
            <w:vAlign w:val="center"/>
          </w:tcPr>
          <w:p>
            <w:pPr>
              <w:spacing w:line="240" w:lineRule="auto" w:after="0"/>
            </w:pPr>
            <w:r/>
            <w:r>
              <w:rPr>
                <w:rFonts w:ascii="Times New Roman" w:hAnsi="Times New Roman"/>
                <w:b w:val="0"/>
                <w:sz w:val="20"/>
              </w:rPr>
              <w:t>Medium</w:t>
            </w:r>
          </w:p>
        </w:tc>
        <w:tc>
          <w:tcPr>
            <w:tcW w:type="dxa" w:w="4082"/>
            <w:vAlign w:val="center"/>
          </w:tcPr>
          <w:p>
            <w:pPr>
              <w:spacing w:line="240" w:lineRule="auto" w:after="0"/>
            </w:pPr>
            <w:r/>
            <w:r>
              <w:rPr>
                <w:rFonts w:ascii="Times New Roman" w:hAnsi="Times New Roman"/>
                <w:b w:val="0"/>
                <w:sz w:val="20"/>
              </w:rPr>
              <w:t>Drift monitoring, probability calibration and threshold governance</w:t>
            </w:r>
          </w:p>
        </w:tc>
        <w:tc>
          <w:tcPr>
            <w:tcW w:type="dxa" w:w="2835"/>
            <w:vAlign w:val="center"/>
          </w:tcPr>
          <w:p>
            <w:pPr>
              <w:spacing w:line="240" w:lineRule="auto" w:after="0"/>
            </w:pPr>
            <w:r/>
            <w:r>
              <w:rPr>
                <w:rFonts w:ascii="Times New Roman" w:hAnsi="Times New Roman"/>
                <w:b w:val="0"/>
                <w:sz w:val="20"/>
              </w:rPr>
              <w:t>Maintains performance over time</w:t>
            </w:r>
          </w:p>
        </w:tc>
      </w:tr>
      <w:tr>
        <w:tc>
          <w:tcPr>
            <w:tcW w:type="dxa" w:w="1304"/>
            <w:vAlign w:val="center"/>
          </w:tcPr>
          <w:p>
            <w:pPr>
              <w:spacing w:line="240" w:lineRule="auto" w:after="0"/>
            </w:pPr>
            <w:r/>
            <w:r>
              <w:rPr>
                <w:rFonts w:ascii="Times New Roman" w:hAnsi="Times New Roman"/>
                <w:b w:val="0"/>
                <w:sz w:val="20"/>
              </w:rPr>
              <w:t>Medium</w:t>
            </w:r>
          </w:p>
        </w:tc>
        <w:tc>
          <w:tcPr>
            <w:tcW w:type="dxa" w:w="4082"/>
            <w:vAlign w:val="center"/>
          </w:tcPr>
          <w:p>
            <w:pPr>
              <w:spacing w:line="240" w:lineRule="auto" w:after="0"/>
            </w:pPr>
            <w:r/>
            <w:r>
              <w:rPr>
                <w:rFonts w:ascii="Times New Roman" w:hAnsi="Times New Roman"/>
                <w:b w:val="0"/>
                <w:sz w:val="20"/>
              </w:rPr>
              <w:t>Explainable Somali evidence spans and investigator evaluation</w:t>
            </w:r>
          </w:p>
        </w:tc>
        <w:tc>
          <w:tcPr>
            <w:tcW w:type="dxa" w:w="2835"/>
            <w:vAlign w:val="center"/>
          </w:tcPr>
          <w:p>
            <w:pPr>
              <w:spacing w:line="240" w:lineRule="auto" w:after="0"/>
            </w:pPr>
            <w:r/>
            <w:r>
              <w:rPr>
                <w:rFonts w:ascii="Times New Roman" w:hAnsi="Times New Roman"/>
                <w:b w:val="0"/>
                <w:sz w:val="20"/>
              </w:rPr>
              <w:t>Supports transparent review</w:t>
            </w:r>
          </w:p>
        </w:tc>
      </w:tr>
      <w:tr>
        <w:tc>
          <w:tcPr>
            <w:tcW w:type="dxa" w:w="1304"/>
            <w:vAlign w:val="center"/>
          </w:tcPr>
          <w:p>
            <w:pPr>
              <w:spacing w:line="240" w:lineRule="auto" w:after="0"/>
            </w:pPr>
            <w:r/>
            <w:r>
              <w:rPr>
                <w:rFonts w:ascii="Times New Roman" w:hAnsi="Times New Roman"/>
                <w:b w:val="0"/>
                <w:sz w:val="20"/>
              </w:rPr>
              <w:t>Long term</w:t>
            </w:r>
          </w:p>
        </w:tc>
        <w:tc>
          <w:tcPr>
            <w:tcW w:type="dxa" w:w="4082"/>
            <w:vAlign w:val="center"/>
          </w:tcPr>
          <w:p>
            <w:pPr>
              <w:spacing w:line="240" w:lineRule="auto" w:after="0"/>
            </w:pPr>
            <w:r/>
            <w:r>
              <w:rPr>
                <w:rFonts w:ascii="Times New Roman" w:hAnsi="Times New Roman"/>
                <w:b w:val="0"/>
                <w:sz w:val="20"/>
              </w:rPr>
              <w:t>Privacy-preserving inter-agency learning and mobile/offline operation</w:t>
            </w:r>
          </w:p>
        </w:tc>
        <w:tc>
          <w:tcPr>
            <w:tcW w:type="dxa" w:w="2835"/>
            <w:vAlign w:val="center"/>
          </w:tcPr>
          <w:p>
            <w:pPr>
              <w:spacing w:line="240" w:lineRule="auto" w:after="0"/>
            </w:pPr>
            <w:r/>
            <w:r>
              <w:rPr>
                <w:rFonts w:ascii="Times New Roman" w:hAnsi="Times New Roman"/>
                <w:b w:val="0"/>
                <w:sz w:val="20"/>
              </w:rPr>
              <w:t>Enables responsible scale</w:t>
            </w:r>
          </w:p>
        </w:tc>
      </w:tr>
    </w:tbl>
    <w:p>
      <w:pPr>
        <w:spacing w:after="0"/>
      </w:pPr>
    </w:p>
    <w:p>
      <w:pPr>
        <w:pStyle w:val="Heading1"/>
      </w:pPr>
      <w:r>
        <w:t>5.8 Final Remarks</w:t>
      </w:r>
    </w:p>
    <w:p>
      <w:r>
        <w:t>BAREAI demonstrates that a locally relevant NLP system can connect Somali-language classification research with a complete operational workflow. Its strongest result is the combination of contextual model performance, high crime recall, role-based governance, and traceable case handling. The project provides a credible foundation for further academic and institutional development, provided that future deployment is accompanied by stronger datasets, comprehensive testing, security controls, continuous evaluation, and meaningful human oversight.</w:t>
      </w:r>
    </w:p>
    <w:sectPr w:rsidR="00FC693F" w:rsidRPr="0006063C" w:rsidSect="00034616">
      <w:headerReference w:type="default" r:id="rId9"/>
      <w:footerReference w:type="default" r:id="rId10"/>
      <w:pgSz w:w="11906" w:h="16838"/>
      <w:pgMar w:top="1134" w:right="1134" w:bottom="1134" w:left="2268"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AUTOMATIC CLASSIFICATION OF CRIME-RELATED TEXT REPORTS USING NLP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4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60"/>
      <w:jc w:val="center"/>
    </w:pPr>
    <w:rPr>
      <w:rFonts w:ascii="Times New Roman" w:hAnsi="Times New Roman"/>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BAREAI - Chapter IV and Chapter V</dc:title>
  <dc:subject>Automatic Classification of Crime-Related Text Reports Using NLP</dc:subject>
  <dc:creator>Yaasiin Mohamuud Abdullaahi; Naima Abdiaziz Said; Nasteha Mohamuud Mohamed; Najma Muhudiin Mohamed</dc:creator>
  <cp:keywords>BAREAI, NLP, Somali, crime classification, thesis</cp:keywords>
  <dc:description>generated by python-docx</dc:description>
  <cp:lastModifiedBy/>
  <cp:revision>1</cp:revision>
  <dcterms:created xsi:type="dcterms:W3CDTF">2013-12-23T23:15:00Z</dcterms:created>
  <dcterms:modified xsi:type="dcterms:W3CDTF">2013-12-23T23:15:00Z</dcterms:modified>
  <cp:category/>
</cp:coreProperties>
</file>