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79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pgSz w:w="4147" w:h="8327"/>
          <w:pgMar w:top="74" w:right="92" w:bottom="74" w:left="182" w:header="0" w:footer="3" w:gutter="0"/>
          <w:pgNumType w:start="1"/>
          <w:cols w:space="720" w:num="1"/>
          <w:rtlGutter w:val="0"/>
          <w:docGrid w:linePitch="360" w:charSpace="0"/>
        </w:sectPr>
      </w:pPr>
    </w:p>
    <w:p>
      <w:pPr>
        <w:pStyle w:val="13"/>
        <w:keepNext/>
        <w:keepLines/>
        <w:widowControl w:val="0"/>
        <w:shd w:val="clear" w:color="auto" w:fill="auto"/>
        <w:bidi w:val="0"/>
        <w:spacing w:before="0" w:after="200" w:line="194" w:lineRule="exact"/>
        <w:ind w:left="0" w:right="0" w:firstLine="0"/>
        <w:jc w:val="center"/>
      </w:pPr>
      <w:bookmarkStart w:id="0" w:name="bookmark8"/>
      <w:bookmarkStart w:id="1" w:name="bookmark6"/>
      <w:bookmarkStart w:id="2" w:name="bookmark7"/>
      <w:r>
        <w:rPr>
          <w:spacing w:val="0"/>
          <w:w w:val="100"/>
          <w:position w:val="0"/>
        </w:rPr>
        <w:t>第九章各种交易风格的具体卖点</w:t>
      </w:r>
      <w:bookmarkEnd w:id="0"/>
    </w:p>
    <w:p>
      <w:pPr>
        <w:pStyle w:val="13"/>
        <w:keepNext/>
        <w:keepLines/>
        <w:widowControl w:val="0"/>
        <w:shd w:val="clear" w:color="auto" w:fill="auto"/>
        <w:bidi w:val="0"/>
        <w:spacing w:before="0" w:after="100" w:line="194" w:lineRule="exact"/>
        <w:ind w:left="0" w:right="0" w:firstLine="0"/>
        <w:jc w:val="center"/>
      </w:pPr>
      <w:bookmarkStart w:id="3" w:name="bookmark9"/>
      <w:r>
        <w:rPr>
          <w:spacing w:val="0"/>
          <w:w w:val="100"/>
          <w:position w:val="0"/>
        </w:rPr>
        <w:t>第五部分是成长股或者价值投资或者周期等的卖点</w:t>
      </w:r>
      <w:bookmarkEnd w:id="1"/>
      <w:bookmarkEnd w:id="2"/>
      <w:bookmarkEnd w:id="3"/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0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这个部分主要涉及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基本面内容</w:t>
      </w:r>
      <w:r>
        <w:rPr>
          <w:color w:val="000000"/>
          <w:spacing w:val="0"/>
          <w:w w:val="100"/>
          <w:position w:val="0"/>
        </w:rPr>
        <w:t>，关于基本面我们没有办法在卖点专题展开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，如果</w:t>
      </w:r>
      <w:r>
        <w:rPr>
          <w:color w:val="000000"/>
          <w:spacing w:val="0"/>
          <w:w w:val="100"/>
          <w:position w:val="0"/>
        </w:rPr>
        <w:t>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讲清楚，我们就需要把每—种交易模式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全说一遍，这内容</w:t>
      </w:r>
      <w:r>
        <w:rPr>
          <w:color w:val="000000"/>
          <w:spacing w:val="0"/>
          <w:w w:val="100"/>
          <w:position w:val="0"/>
        </w:rPr>
        <w:t>太庞大了。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187" w:lineRule="exact"/>
        <w:ind w:left="0" w:right="0" w:firstLine="0"/>
        <w:jc w:val="both"/>
        <w:rPr>
          <w:rFonts w:hint="eastAsia" w:eastAsia="宋体"/>
          <w:color w:val="000000"/>
          <w:spacing w:val="0"/>
          <w:w w:val="100"/>
          <w:position w:val="0"/>
          <w:lang w:eastAsia="zh-CN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所以我只说我自己最主要的模式。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后边如果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可以</w:t>
      </w:r>
      <w:r>
        <w:rPr>
          <w:color w:val="000000"/>
          <w:spacing w:val="0"/>
          <w:w w:val="100"/>
          <w:position w:val="0"/>
        </w:rPr>
        <w:t>,我们可以专门设立一个选题，来讲周期或者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成长股</w:t>
      </w:r>
      <w:r>
        <w:rPr>
          <w:color w:val="000000"/>
          <w:spacing w:val="0"/>
          <w:w w:val="100"/>
          <w:position w:val="0"/>
        </w:rPr>
        <w:t>的具体交易模式。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因此，这里一点而过。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对于这种非情绪主导的票，决定卖点的主要是逻辑推出的空间，盘口只是用来辅助的。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如果说题材的盘口，是在看分时或者日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的强弱,那么这种偏向基本面的投资，盘口主要看的是均线系统。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200" w:line="182" w:lineRule="exact"/>
        <w:ind w:left="0" w:right="0" w:firstLine="0"/>
        <w:jc w:val="both"/>
      </w:pPr>
      <w:bookmarkStart w:id="4" w:name="bookmark12"/>
      <w:bookmarkStart w:id="5" w:name="bookmark11"/>
      <w:bookmarkStart w:id="6" w:name="bookmark10"/>
      <w:r>
        <w:rPr>
          <w:color w:val="D92042"/>
          <w:spacing w:val="0"/>
          <w:w w:val="100"/>
          <w:position w:val="0"/>
        </w:rPr>
        <w:t>即：估值+均线系统来判断。</w:t>
      </w:r>
      <w:bookmarkEnd w:id="4"/>
      <w:bookmarkEnd w:id="5"/>
      <w:bookmarkEnd w:id="6"/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18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估值</w:t>
      </w:r>
      <w:r>
        <w:rPr>
          <w:color w:val="000000"/>
          <w:spacing w:val="0"/>
          <w:w w:val="100"/>
          <w:position w:val="0"/>
        </w:rPr>
        <w:t>，不同的票怎么估值，估值方式有非常多的种类，入门的也是用的最多的就是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PE</w:t>
      </w:r>
      <w:r>
        <w:rPr>
          <w:color w:val="000000"/>
          <w:spacing w:val="0"/>
          <w:w w:val="100"/>
          <w:position w:val="0"/>
        </w:rPr>
        <w:t>法。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两个步骤，一个是推算出业绩，一个是给出合理的估值范围。但是，有些票是不能直接看到落地业绩的，按业绩大概分几类。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—类是可以不设估值上限的票。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这些一般都是处于成长期同时行业规模又比较大的赛道，或者是渗透率提升+规模比较大+集中度提升的逻辑等。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</w:pPr>
      <w:r>
        <w:rPr>
          <w:b/>
          <w:bCs/>
          <w:color w:val="000000"/>
          <w:spacing w:val="0"/>
          <w:w w:val="100"/>
          <w:position w:val="0"/>
        </w:rPr>
        <w:t>一类是给乐观估值或者悲观估值的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比如产能释放，产品的提价周期，行业的供给减少等等，可以算岀业绩等等。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大家都知道推算业绩这个是非常难的，连上市公司自己都未必知道。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因此，要去寻找那些比较简单的，用计算器就能按出来业绩的票，这种一般都是原材料类的企业，比如方大炭素，盛和资源，新安股份等。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8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均线，</w:t>
      </w:r>
      <w:r>
        <w:rPr>
          <w:color w:val="000000"/>
          <w:spacing w:val="0"/>
          <w:w w:val="100"/>
          <w:position w:val="0"/>
        </w:rPr>
        <w:t>这个其实很简单，就是根据个股自身的上涨趋势来的，它沿看什么线走，你就沿着什么线去寻找盘口支撑的卖点。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88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比如有些强势票，它沿着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日线，慢趋势票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</w:t>
      </w:r>
      <w:r>
        <w:rPr>
          <w:color w:val="000000"/>
          <w:spacing w:val="0"/>
          <w:w w:val="100"/>
          <w:position w:val="0"/>
        </w:rPr>
        <w:t>它的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日线，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日线和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20</w:t>
      </w:r>
      <w:r>
        <w:rPr>
          <w:color w:val="000000"/>
          <w:spacing w:val="0"/>
          <w:w w:val="100"/>
          <w:position w:val="0"/>
        </w:rPr>
        <w:t>日线交叠。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还有一些涨三退二的票，可能是沿着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60</w:t>
      </w:r>
      <w:r>
        <w:rPr>
          <w:color w:val="000000"/>
          <w:spacing w:val="0"/>
          <w:w w:val="100"/>
          <w:position w:val="0"/>
        </w:rPr>
        <w:t>日线走的。</w:t>
      </w:r>
    </w:p>
    <w:p>
      <w:pPr>
        <w:widowControl w:val="0"/>
        <w:jc w:val="center"/>
        <w:rPr>
          <w:sz w:val="2"/>
          <w:szCs w:val="2"/>
        </w:rPr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49830" cy="767080"/>
            <wp:effectExtent l="0" t="0" r="762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0465" cy="730250"/>
            <wp:effectExtent l="0" t="0" r="698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239" w:lineRule="exact"/>
        <w:ind w:left="0" w:right="0" w:firstLine="0"/>
        <w:jc w:val="left"/>
        <w:rPr>
          <w:b/>
          <w:bCs/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就上面这几个简单的图例，就可以看到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几</w:t>
      </w:r>
      <w:r>
        <w:rPr>
          <w:color w:val="000000"/>
          <w:spacing w:val="0"/>
          <w:w w:val="100"/>
          <w:position w:val="0"/>
        </w:rPr>
        <w:t xml:space="preserve">个问题： </w:t>
      </w:r>
      <w:r>
        <w:rPr>
          <w:b/>
          <w:bCs/>
          <w:color w:val="000000"/>
          <w:spacing w:val="0"/>
          <w:w w:val="100"/>
          <w:position w:val="0"/>
        </w:rPr>
        <w:t>一个是趋势票很少会直接形成尖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尖角，大</w:t>
      </w:r>
      <w:r>
        <w:rPr>
          <w:b/>
          <w:bCs/>
          <w:color w:val="000000"/>
          <w:spacing w:val="0"/>
          <w:w w:val="100"/>
          <w:position w:val="0"/>
        </w:rPr>
        <w:t>多都是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</w:t>
      </w:r>
      <w:r>
        <w:rPr>
          <w:b/>
          <w:bCs/>
          <w:color w:val="000000"/>
          <w:spacing w:val="0"/>
          <w:w w:val="100"/>
          <w:position w:val="0"/>
        </w:rPr>
        <w:t>头比较常见。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23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就是两次去摸同一个高点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都</w:t>
      </w:r>
      <w:r>
        <w:rPr>
          <w:color w:val="000000"/>
          <w:spacing w:val="0"/>
          <w:w w:val="100"/>
          <w:position w:val="0"/>
        </w:rPr>
        <w:t>过不去，这大概率是—个主升的高点，假如后面还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要</w:t>
      </w:r>
      <w:r>
        <w:rPr>
          <w:color w:val="000000"/>
          <w:spacing w:val="0"/>
          <w:w w:val="100"/>
          <w:position w:val="0"/>
        </w:rPr>
        <w:t>继续涨，这是由基本面推 出的空间决定的,短期也是要调整或者横盘震荡的。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100" w:line="197" w:lineRule="exact"/>
        <w:ind w:left="0" w:right="0" w:firstLine="0"/>
        <w:jc w:val="both"/>
      </w:pPr>
      <w:bookmarkStart w:id="7" w:name="bookmark13"/>
      <w:bookmarkStart w:id="8" w:name="bookmark15"/>
      <w:bookmarkStart w:id="9" w:name="bookmark14"/>
      <w:r>
        <w:rPr>
          <w:color w:val="000000"/>
          <w:spacing w:val="0"/>
          <w:w w:val="100"/>
          <w:position w:val="0"/>
        </w:rPr>
        <w:t>一个是要判断有效跌破均线，趋势票很少去盘中看分时，用的是收盘价。</w:t>
      </w:r>
      <w:bookmarkEnd w:id="7"/>
      <w:bookmarkEnd w:id="8"/>
      <w:bookmarkEnd w:id="9"/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而且，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看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不能</w:t>
      </w:r>
      <w:r>
        <w:rPr>
          <w:color w:val="000000"/>
          <w:spacing w:val="0"/>
          <w:w w:val="100"/>
          <w:position w:val="0"/>
        </w:rPr>
        <w:t>是某一天的收盘价，要连续一段时间拉不上去。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这就要和它过往的股性去比较，比如在外界的大市场环境都没有变化的情况，它之前跌破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日线，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 xml:space="preserve">天之内 拉回，这次磨叽了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天，就要谨慎。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或者说，之前都是阴线后横盘的形式，而这次是连续大阴线等等，都要关注。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另外，有一些综合的玩法，比如机游合力拉出来的趋势票，你去中间穿插一笔，这是没办法用一个精准的方式选卖点的。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比如趋势票做个超短，落脚点是超短，那只能以短线为主，但它又是趋势票，因此追强还是买弱，是没有定论的。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这个就是技术玩法，在不同的时机找共性总结就行。</w:t>
      </w:r>
      <w:bookmarkStart w:id="10" w:name="_GoBack"/>
      <w:bookmarkEnd w:id="10"/>
    </w:p>
    <w:sectPr>
      <w:footnotePr>
        <w:numFmt w:val="decimal"/>
      </w:footnotePr>
      <w:type w:val="continuous"/>
      <w:pgSz w:w="4147" w:h="8327"/>
      <w:pgMar w:top="74" w:right="92" w:bottom="74" w:left="182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51AD2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after="150"/>
      <w:ind w:firstLine="90"/>
      <w:outlineLvl w:val="0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6">
    <w:name w:val="Body text|2_"/>
    <w:basedOn w:val="3"/>
    <w:link w:val="7"/>
    <w:uiPriority w:val="0"/>
    <w:rPr>
      <w:sz w:val="11"/>
      <w:szCs w:val="11"/>
      <w:u w:val="none"/>
      <w:shd w:val="clear" w:color="auto" w:fill="auto"/>
    </w:rPr>
  </w:style>
  <w:style w:type="paragraph" w:customStyle="1" w:styleId="7">
    <w:name w:val="Body text|2"/>
    <w:basedOn w:val="1"/>
    <w:link w:val="6"/>
    <w:uiPriority w:val="0"/>
    <w:pPr>
      <w:widowControl w:val="0"/>
      <w:shd w:val="clear" w:color="auto" w:fill="auto"/>
      <w:spacing w:after="420"/>
    </w:pPr>
    <w:rPr>
      <w:sz w:val="11"/>
      <w:szCs w:val="11"/>
      <w:u w:val="none"/>
      <w:shd w:val="clear" w:color="auto" w:fill="auto"/>
    </w:rPr>
  </w:style>
  <w:style w:type="character" w:customStyle="1" w:styleId="8">
    <w:name w:val="Body text|1_"/>
    <w:basedOn w:val="3"/>
    <w:link w:val="9"/>
    <w:uiPriority w:val="0"/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9">
    <w:name w:val="Body text|1"/>
    <w:basedOn w:val="1"/>
    <w:link w:val="8"/>
    <w:uiPriority w:val="0"/>
    <w:pPr>
      <w:widowControl w:val="0"/>
      <w:shd w:val="clear" w:color="auto" w:fill="auto"/>
      <w:spacing w:after="180" w:line="288" w:lineRule="auto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10">
    <w:name w:val="Body text|3_"/>
    <w:basedOn w:val="3"/>
    <w:link w:val="11"/>
    <w:uiPriority w:val="0"/>
    <w:rPr>
      <w:rFonts w:ascii="宋体" w:hAnsi="宋体" w:eastAsia="宋体" w:cs="宋体"/>
      <w:sz w:val="12"/>
      <w:szCs w:val="12"/>
      <w:u w:val="none"/>
      <w:shd w:val="clear" w:color="auto" w:fill="auto"/>
      <w:lang w:val="zh-TW" w:eastAsia="zh-TW" w:bidi="zh-TW"/>
    </w:rPr>
  </w:style>
  <w:style w:type="paragraph" w:customStyle="1" w:styleId="11">
    <w:name w:val="Body text|3"/>
    <w:basedOn w:val="1"/>
    <w:link w:val="10"/>
    <w:uiPriority w:val="0"/>
    <w:pPr>
      <w:widowControl w:val="0"/>
      <w:shd w:val="clear" w:color="auto" w:fill="auto"/>
      <w:spacing w:after="280"/>
    </w:pPr>
    <w:rPr>
      <w:rFonts w:ascii="宋体" w:hAnsi="宋体" w:eastAsia="宋体" w:cs="宋体"/>
      <w:sz w:val="12"/>
      <w:szCs w:val="12"/>
      <w:u w:val="none"/>
      <w:shd w:val="clear" w:color="auto" w:fill="auto"/>
      <w:lang w:val="zh-TW" w:eastAsia="zh-TW" w:bidi="zh-TW"/>
    </w:rPr>
  </w:style>
  <w:style w:type="character" w:customStyle="1" w:styleId="12">
    <w:name w:val="Heading #2|1_"/>
    <w:basedOn w:val="3"/>
    <w:link w:val="13"/>
    <w:uiPriority w:val="0"/>
    <w:rPr>
      <w:rFonts w:ascii="宋体" w:hAnsi="宋体" w:eastAsia="宋体" w:cs="宋体"/>
      <w:b/>
      <w:bCs/>
      <w:color w:val="0651F5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13">
    <w:name w:val="Heading #2|1"/>
    <w:basedOn w:val="1"/>
    <w:link w:val="12"/>
    <w:uiPriority w:val="0"/>
    <w:pPr>
      <w:widowControl w:val="0"/>
      <w:shd w:val="clear" w:color="auto" w:fill="auto"/>
      <w:spacing w:after="150" w:line="196" w:lineRule="exact"/>
      <w:outlineLvl w:val="1"/>
    </w:pPr>
    <w:rPr>
      <w:rFonts w:ascii="宋体" w:hAnsi="宋体" w:eastAsia="宋体" w:cs="宋体"/>
      <w:b/>
      <w:bCs/>
      <w:color w:val="0651F5"/>
      <w:sz w:val="14"/>
      <w:szCs w:val="14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2021-04-14T06:18:36Z</dcterms:created>
  <dc:creator>Administrator</dc:creator>
  <cp:lastModifiedBy>WPS_1479449092</cp:lastModifiedBy>
  <dcterms:modified xsi:type="dcterms:W3CDTF">2021-04-14T06:37:33Z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D2A9F8DC5B364DA5BE5784EED91A1BB6</vt:lpwstr>
  </property>
</Properties>
</file>