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SOUTH INDIAN MOVIE BOX OFFICE &amp; REVENUE INTELLIGENCE</w:t>
      </w:r>
    </w:p>
    <w:p>
      <w:pPr>
        <w:jc w:val="center"/>
      </w:pPr>
      <w:r>
        <w:rPr>
          <w:b/>
          <w:sz w:val="30"/>
        </w:rPr>
        <w:t>Strategic Insights &amp; Business Analysis Report</w:t>
      </w:r>
    </w:p>
    <w:p>
      <w:pPr>
        <w:jc w:val="center"/>
      </w:pPr>
      <w:r>
        <w:rPr>
          <w:i/>
        </w:rPr>
        <w:t>Python • MySQL • Excel • Power BI</w:t>
      </w:r>
    </w:p>
    <w:p>
      <w:pPr>
        <w:pStyle w:val="Heading1"/>
      </w:pPr>
      <w:r>
        <w:t>1. Executive Summary</w:t>
      </w:r>
    </w:p>
    <w:p>
      <w:r>
        <w:t>This analysis evaluates 560 movies using budget, box-office revenue, profitability, ROI, IMDb rating, genre, director success rate, lead-actor success rate, trailer views, and Hit/Flop status. The objective is to identify revenue drivers, profitability patterns, and financial risks that can support better movie-performance analysis and reporting.</w:t>
      </w:r>
    </w:p>
    <w:p>
      <w:r>
        <w:t>Across the dataset, total budget is approximately ₹24,960.72 Cr and total box-office revenue is approximately ₹50,215.63 Cr, producing aggregate profit of approximately ₹25,254.91 Cr. Using the project rule Profit &gt; 0 = Hit, 374 movies are Hits and 186 are Flops.</w:t>
      </w:r>
    </w:p>
    <w:p>
      <w:pPr>
        <w:pStyle w:val="Heading1"/>
      </w:pPr>
      <w:r>
        <w:t>2. Key Business Findings</w:t>
      </w:r>
    </w:p>
    <w:p>
      <w:pPr>
        <w:pStyle w:val="ListBullet"/>
      </w:pPr>
      <w:r>
        <w:rPr>
          <w:b/>
        </w:rPr>
        <w:t xml:space="preserve">Action is the revenue leader: </w:t>
      </w:r>
      <w:r>
        <w:t>Action generated approximately ₹26,030.58 Cr in total revenue, substantially more than the other genres.</w:t>
      </w:r>
    </w:p>
    <w:p>
      <w:pPr>
        <w:pStyle w:val="ListBullet"/>
      </w:pPr>
      <w:r>
        <w:rPr>
          <w:b/>
        </w:rPr>
        <w:t xml:space="preserve">Higher budget does not guarantee success: </w:t>
      </w:r>
      <w:r>
        <w:t>Higher-budget movies generate greater average revenue and profit, but budget alone does not guarantee a Hit. Several high-budget movies produced losses.</w:t>
      </w:r>
    </w:p>
    <w:p>
      <w:pPr>
        <w:pStyle w:val="ListBullet"/>
      </w:pPr>
      <w:r>
        <w:rPr>
          <w:b/>
        </w:rPr>
        <w:t xml:space="preserve">Drama has the highest average IMDb rating: </w:t>
      </w:r>
      <w:r>
        <w:t>Drama records the highest average IMDb rating at approximately 7.95.</w:t>
      </w:r>
    </w:p>
    <w:p>
      <w:pPr>
        <w:pStyle w:val="ListBullet"/>
      </w:pPr>
      <w:r>
        <w:rPr>
          <w:b/>
        </w:rPr>
        <w:t xml:space="preserve">Director success is associated with stronger performance: </w:t>
      </w:r>
      <w:r>
        <w:t>The high director-success segment averages approximately ₹172.87 Cr revenue and ₹105.78 Cr profit, compared with approximately ₹25.84 Cr revenue and ₹0.16 Cr profit for the low-success segment.</w:t>
      </w:r>
    </w:p>
    <w:p>
      <w:pPr>
        <w:pStyle w:val="ListBullet"/>
      </w:pPr>
      <w:r>
        <w:rPr>
          <w:b/>
        </w:rPr>
        <w:t xml:space="preserve">Lead-actor success shows a positive performance pattern: </w:t>
      </w:r>
      <w:r>
        <w:t>The high lead-actor-success segment averages approximately ₹139.83 Cr revenue and ₹89.67 Cr profit, while the low segment averages approximately ₹79.56 Cr revenue and ₹37.28 Cr profit.</w:t>
      </w:r>
    </w:p>
    <w:p>
      <w:pPr>
        <w:pStyle w:val="ListBullet"/>
      </w:pPr>
      <w:r>
        <w:rPr>
          <w:b/>
        </w:rPr>
        <w:t xml:space="preserve">Trailer views are strongly associated with revenue: </w:t>
      </w:r>
      <w:r>
        <w:t>The highest trailer-view quartile averages approximately ₹234.57 Cr revenue and a 75.54% hit rate, versus ₹31.76 Cr revenue and a 69.29% hit rate in the lowest-view quartile.</w:t>
      </w:r>
    </w:p>
    <w:p>
      <w:pPr>
        <w:pStyle w:val="ListBullet"/>
      </w:pPr>
      <w:r>
        <w:rPr>
          <w:b/>
        </w:rPr>
        <w:t xml:space="preserve">ROI is highly skewed: </w:t>
      </w:r>
      <w:r>
        <w:t>Very small budgets can produce extremely large percentage ROI values. ROI should therefore be interpreted together with absolute profit and budget.</w:t>
      </w:r>
    </w:p>
    <w:p>
      <w:pPr>
        <w:pStyle w:val="Heading1"/>
      </w:pPr>
      <w:r>
        <w:t>3. Genre Intelligence</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t>Genre</w:t>
            </w:r>
          </w:p>
        </w:tc>
        <w:tc>
          <w:tcPr>
            <w:tcW w:type="dxa" w:w="2045"/>
          </w:tcPr>
          <w:p>
            <w:r>
              <w:t>Movies</w:t>
            </w:r>
          </w:p>
        </w:tc>
        <w:tc>
          <w:tcPr>
            <w:tcW w:type="dxa" w:w="2045"/>
          </w:tcPr>
          <w:p>
            <w:r>
              <w:t>Revenue (Cr)</w:t>
            </w:r>
          </w:p>
        </w:tc>
        <w:tc>
          <w:tcPr>
            <w:tcW w:type="dxa" w:w="2045"/>
          </w:tcPr>
          <w:p>
            <w:r>
              <w:t>Profit (Cr)</w:t>
            </w:r>
          </w:p>
        </w:tc>
        <w:tc>
          <w:tcPr>
            <w:tcW w:type="dxa" w:w="2045"/>
          </w:tcPr>
          <w:p>
            <w:r>
              <w:t>Avg ROI</w:t>
            </w:r>
          </w:p>
        </w:tc>
      </w:tr>
      <w:tr>
        <w:tc>
          <w:tcPr>
            <w:tcW w:type="dxa" w:w="2045"/>
          </w:tcPr>
          <w:p>
            <w:r>
              <w:t>Action</w:t>
            </w:r>
          </w:p>
        </w:tc>
        <w:tc>
          <w:tcPr>
            <w:tcW w:type="dxa" w:w="2045"/>
          </w:tcPr>
          <w:p>
            <w:r>
              <w:t>129</w:t>
            </w:r>
          </w:p>
        </w:tc>
        <w:tc>
          <w:tcPr>
            <w:tcW w:type="dxa" w:w="2045"/>
          </w:tcPr>
          <w:p>
            <w:r>
              <w:t>26,030.58</w:t>
            </w:r>
          </w:p>
        </w:tc>
        <w:tc>
          <w:tcPr>
            <w:tcW w:type="dxa" w:w="2045"/>
          </w:tcPr>
          <w:p>
            <w:r>
              <w:t>13,307.68</w:t>
            </w:r>
          </w:p>
        </w:tc>
        <w:tc>
          <w:tcPr>
            <w:tcW w:type="dxa" w:w="2045"/>
          </w:tcPr>
          <w:p>
            <w:r>
              <w:t>308.88%</w:t>
            </w:r>
          </w:p>
        </w:tc>
      </w:tr>
      <w:tr>
        <w:tc>
          <w:tcPr>
            <w:tcW w:type="dxa" w:w="2045"/>
          </w:tcPr>
          <w:p>
            <w:r>
              <w:t>Romance</w:t>
            </w:r>
          </w:p>
        </w:tc>
        <w:tc>
          <w:tcPr>
            <w:tcW w:type="dxa" w:w="2045"/>
          </w:tcPr>
          <w:p>
            <w:r>
              <w:t>145</w:t>
            </w:r>
          </w:p>
        </w:tc>
        <w:tc>
          <w:tcPr>
            <w:tcW w:type="dxa" w:w="2045"/>
          </w:tcPr>
          <w:p>
            <w:r>
              <w:t>9,146.62</w:t>
            </w:r>
          </w:p>
        </w:tc>
        <w:tc>
          <w:tcPr>
            <w:tcW w:type="dxa" w:w="2045"/>
          </w:tcPr>
          <w:p>
            <w:r>
              <w:t>4,422.45</w:t>
            </w:r>
          </w:p>
        </w:tc>
        <w:tc>
          <w:tcPr>
            <w:tcW w:type="dxa" w:w="2045"/>
          </w:tcPr>
          <w:p>
            <w:r>
              <w:t>180.54%</w:t>
            </w:r>
          </w:p>
        </w:tc>
      </w:tr>
      <w:tr>
        <w:tc>
          <w:tcPr>
            <w:tcW w:type="dxa" w:w="2045"/>
          </w:tcPr>
          <w:p>
            <w:r>
              <w:t>Drama</w:t>
            </w:r>
          </w:p>
        </w:tc>
        <w:tc>
          <w:tcPr>
            <w:tcW w:type="dxa" w:w="2045"/>
          </w:tcPr>
          <w:p>
            <w:r>
              <w:t>55</w:t>
            </w:r>
          </w:p>
        </w:tc>
        <w:tc>
          <w:tcPr>
            <w:tcW w:type="dxa" w:w="2045"/>
          </w:tcPr>
          <w:p>
            <w:r>
              <w:t>4,614.69</w:t>
            </w:r>
          </w:p>
        </w:tc>
        <w:tc>
          <w:tcPr>
            <w:tcW w:type="dxa" w:w="2045"/>
          </w:tcPr>
          <w:p>
            <w:r>
              <w:t>3,070.42</w:t>
            </w:r>
          </w:p>
        </w:tc>
        <w:tc>
          <w:tcPr>
            <w:tcW w:type="dxa" w:w="2045"/>
          </w:tcPr>
          <w:p>
            <w:r>
              <w:t>253.70%</w:t>
            </w:r>
          </w:p>
        </w:tc>
      </w:tr>
      <w:tr>
        <w:tc>
          <w:tcPr>
            <w:tcW w:type="dxa" w:w="2045"/>
          </w:tcPr>
          <w:p>
            <w:r>
              <w:t>Comedy</w:t>
            </w:r>
          </w:p>
        </w:tc>
        <w:tc>
          <w:tcPr>
            <w:tcW w:type="dxa" w:w="2045"/>
          </w:tcPr>
          <w:p>
            <w:r>
              <w:t>124</w:t>
            </w:r>
          </w:p>
        </w:tc>
        <w:tc>
          <w:tcPr>
            <w:tcW w:type="dxa" w:w="2045"/>
          </w:tcPr>
          <w:p>
            <w:r>
              <w:t>4,917.64</w:t>
            </w:r>
          </w:p>
        </w:tc>
        <w:tc>
          <w:tcPr>
            <w:tcW w:type="dxa" w:w="2045"/>
          </w:tcPr>
          <w:p>
            <w:r>
              <w:t>2,829.45</w:t>
            </w:r>
          </w:p>
        </w:tc>
        <w:tc>
          <w:tcPr>
            <w:tcW w:type="dxa" w:w="2045"/>
          </w:tcPr>
          <w:p>
            <w:r>
              <w:t>286.41%</w:t>
            </w:r>
          </w:p>
        </w:tc>
      </w:tr>
      <w:tr>
        <w:tc>
          <w:tcPr>
            <w:tcW w:type="dxa" w:w="2045"/>
          </w:tcPr>
          <w:p>
            <w:r>
              <w:t>Thriller</w:t>
            </w:r>
          </w:p>
        </w:tc>
        <w:tc>
          <w:tcPr>
            <w:tcW w:type="dxa" w:w="2045"/>
          </w:tcPr>
          <w:p>
            <w:r>
              <w:t>107</w:t>
            </w:r>
          </w:p>
        </w:tc>
        <w:tc>
          <w:tcPr>
            <w:tcW w:type="dxa" w:w="2045"/>
          </w:tcPr>
          <w:p>
            <w:r>
              <w:t>5,506.11</w:t>
            </w:r>
          </w:p>
        </w:tc>
        <w:tc>
          <w:tcPr>
            <w:tcW w:type="dxa" w:w="2045"/>
          </w:tcPr>
          <w:p>
            <w:r>
              <w:t>1,624.91</w:t>
            </w:r>
          </w:p>
        </w:tc>
        <w:tc>
          <w:tcPr>
            <w:tcW w:type="dxa" w:w="2045"/>
          </w:tcPr>
          <w:p>
            <w:r>
              <w:t>1,760.15%</w:t>
            </w:r>
          </w:p>
        </w:tc>
      </w:tr>
    </w:tbl>
    <w:p>
      <w:r>
        <w:t>Action leads on absolute revenue and profit, while Thriller shows an unusually high average ROI. The Thriller ROI figure should be interpreted cautiously because percentage ROI is highly sensitive to very small budgets.</w:t>
      </w:r>
    </w:p>
    <w:p>
      <w:pPr>
        <w:pStyle w:val="Heading1"/>
      </w:pPr>
      <w:r>
        <w:t>4. Budget, Profitability &amp; Risk</w:t>
      </w:r>
    </w:p>
    <w:p>
      <w:r>
        <w:t>The dataset shows a clear distinction between scale and efficiency. The highest-budget quartile averages approximately ₹249.54 Cr revenue and ₹118.49 Cr profit, but its average hit rate is 65.71%. The lowest-budget quartile has a higher hit rate of 77.86% and an average ROI of approximately 1,838.02%. This indicates that larger investment can increase the size of potential returns without guaranteeing efficiency or success.</w:t>
      </w:r>
    </w:p>
    <w:p>
      <w:r>
        <w:t>Absolute profit and ROI should be reported together. Absolute profit highlights value created in rupee terms, while ROI measures efficiency relative to budget. Extremely small budgets can make ROI percentages disproportionately large.</w:t>
      </w:r>
    </w:p>
    <w:p>
      <w:pPr>
        <w:pStyle w:val="Heading1"/>
      </w:pPr>
      <w:r>
        <w:t>5. Director &amp; Lead-Actor Intelligence</w:t>
      </w:r>
    </w:p>
    <w:p>
      <w:r>
        <w:t>Director-success segments show a strong performance gradient: high-success directors average ₹172.87 Cr revenue and an 81.19% hit rate, while low-success directors average ₹25.84 Cr revenue and a 43.80% hit rate.</w:t>
      </w:r>
    </w:p>
    <w:p>
      <w:r>
        <w:t>Lead-actor-success segments show a similar relationship. High-success actors average ₹139.83 Cr revenue and an 80.88% hit rate, compared with ₹79.56 Cr revenue and a 56.49% hit rate for the low-success segment.</w:t>
      </w:r>
    </w:p>
    <w:p>
      <w:r>
        <w:t>These results indicate association rather than proof of causation. Other factors such as genre, budget, marketing, release timing, and audience demand may also influence performance.</w:t>
      </w:r>
    </w:p>
    <w:p>
      <w:pPr>
        <w:pStyle w:val="Heading1"/>
      </w:pPr>
      <w:r>
        <w:t>6. Trailer Views &amp; Audience Interest</w:t>
      </w:r>
    </w:p>
    <w:p>
      <w:r>
        <w:t>Trailer views show a strong association with commercial performance. The highest-view quartile averages 44.79 million views, ₹234.57 Cr revenue, ₹131.77 Cr profit, and a 75.54% hit rate. The lowest-view quartile averages 0.46 million views, ₹31.76 Cr revenue, ₹14.70 Cr profit, and a 69.29% hit rate.</w:t>
      </w:r>
    </w:p>
    <w:p>
      <w:r>
        <w:t>Trailer views can therefore be treated as a useful audience-interest indicator, but the relationship should not be presented as proof that trailer views cause higher revenue.</w:t>
      </w:r>
    </w:p>
    <w:p>
      <w:pPr>
        <w:pStyle w:val="Heading1"/>
      </w:pPr>
      <w:r>
        <w:t>7. Hit vs Flop Analysis</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Status</w:t>
            </w:r>
          </w:p>
        </w:tc>
        <w:tc>
          <w:tcPr>
            <w:tcW w:type="dxa" w:w="2045"/>
          </w:tcPr>
          <w:p>
            <w:r>
              <w:t>Movies</w:t>
            </w:r>
          </w:p>
        </w:tc>
        <w:tc>
          <w:tcPr>
            <w:tcW w:type="dxa" w:w="2045"/>
          </w:tcPr>
          <w:p>
            <w:r>
              <w:t>Avg Budget (Cr)</w:t>
            </w:r>
          </w:p>
        </w:tc>
        <w:tc>
          <w:tcPr>
            <w:tcW w:type="dxa" w:w="2045"/>
          </w:tcPr>
          <w:p>
            <w:r>
              <w:t>Avg Revenue (Cr)</w:t>
            </w:r>
          </w:p>
        </w:tc>
        <w:tc>
          <w:tcPr>
            <w:tcW w:type="dxa" w:w="2045"/>
          </w:tcPr>
          <w:p>
            <w:r>
              <w:t>Avg Profit (Cr)</w:t>
            </w:r>
          </w:p>
        </w:tc>
      </w:tr>
      <w:tr>
        <w:tc>
          <w:tcPr>
            <w:tcW w:type="dxa" w:w="2045"/>
          </w:tcPr>
          <w:p>
            <w:r>
              <w:t>Hit</w:t>
            </w:r>
          </w:p>
        </w:tc>
        <w:tc>
          <w:tcPr>
            <w:tcW w:type="dxa" w:w="2045"/>
          </w:tcPr>
          <w:p>
            <w:r>
              <w:t>374</w:t>
            </w:r>
          </w:p>
        </w:tc>
        <w:tc>
          <w:tcPr>
            <w:tcW w:type="dxa" w:w="2045"/>
          </w:tcPr>
          <w:p>
            <w:r>
              <w:t>42.79</w:t>
            </w:r>
          </w:p>
        </w:tc>
        <w:tc>
          <w:tcPr>
            <w:tcW w:type="dxa" w:w="2045"/>
          </w:tcPr>
          <w:p>
            <w:r>
              <w:t>124.44</w:t>
            </w:r>
          </w:p>
        </w:tc>
        <w:tc>
          <w:tcPr>
            <w:tcW w:type="dxa" w:w="2045"/>
          </w:tcPr>
          <w:p>
            <w:r>
              <w:t>81.65</w:t>
            </w:r>
          </w:p>
        </w:tc>
      </w:tr>
      <w:tr>
        <w:tc>
          <w:tcPr>
            <w:tcW w:type="dxa" w:w="2045"/>
          </w:tcPr>
          <w:p>
            <w:r>
              <w:t>Flop</w:t>
            </w:r>
          </w:p>
        </w:tc>
        <w:tc>
          <w:tcPr>
            <w:tcW w:type="dxa" w:w="2045"/>
          </w:tcPr>
          <w:p>
            <w:r>
              <w:t>186</w:t>
            </w:r>
          </w:p>
        </w:tc>
        <w:tc>
          <w:tcPr>
            <w:tcW w:type="dxa" w:w="2045"/>
          </w:tcPr>
          <w:p>
            <w:r>
              <w:t>48.15</w:t>
            </w:r>
          </w:p>
        </w:tc>
        <w:tc>
          <w:tcPr>
            <w:tcW w:type="dxa" w:w="2045"/>
          </w:tcPr>
          <w:p>
            <w:r>
              <w:t>19.76</w:t>
            </w:r>
          </w:p>
        </w:tc>
        <w:tc>
          <w:tcPr>
            <w:tcW w:type="dxa" w:w="2045"/>
          </w:tcPr>
          <w:p>
            <w:r>
              <w:t>-28.39</w:t>
            </w:r>
          </w:p>
        </w:tc>
      </w:tr>
    </w:tbl>
    <w:p>
      <w:r>
        <w:t>Flops have a higher average budget than Hits in this dataset, while generating substantially lower average revenue and negative average profit. This reinforces that budget size by itself is not a reliable success indicator.</w:t>
      </w:r>
    </w:p>
    <w:p>
      <w:pPr>
        <w:pStyle w:val="Heading1"/>
      </w:pPr>
      <w:r>
        <w:t>8. Risk &amp; Financial Governance Recommendations</w:t>
      </w:r>
    </w:p>
    <w:p>
      <w:pPr>
        <w:pStyle w:val="ListNumber"/>
      </w:pPr>
      <w:r>
        <w:t>Evaluate Revenue, Profit, and ROI together rather than relying on a single KPI.</w:t>
      </w:r>
    </w:p>
    <w:p>
      <w:pPr>
        <w:pStyle w:val="ListNumber"/>
      </w:pPr>
      <w:r>
        <w:t>Do not treat high budget as a guarantee of commercial success.</w:t>
      </w:r>
    </w:p>
    <w:p>
      <w:pPr>
        <w:pStyle w:val="ListNumber"/>
      </w:pPr>
      <w:r>
        <w:t>Flag zero-revenue records for review before financial reporting.</w:t>
      </w:r>
    </w:p>
    <w:p>
      <w:pPr>
        <w:pStyle w:val="ListNumber"/>
      </w:pPr>
      <w:r>
        <w:t>Validate financial values and rating ranges during every data-refresh cycle.</w:t>
      </w:r>
    </w:p>
    <w:p>
      <w:pPr>
        <w:pStyle w:val="ListNumber"/>
      </w:pPr>
      <w:r>
        <w:t>Review extreme ROI values separately because tiny budgets can produce very large percentages.</w:t>
      </w:r>
    </w:p>
    <w:p>
      <w:pPr>
        <w:pStyle w:val="ListNumber"/>
      </w:pPr>
      <w:r>
        <w:t>Retain data-quality status flags so unusual records remain traceable instead of being silently removed.</w:t>
      </w:r>
    </w:p>
    <w:p>
      <w:pPr>
        <w:pStyle w:val="ListNumber"/>
      </w:pPr>
      <w:r>
        <w:t>Treat relationships such as trailer views versus revenue as associations, not causal conclusions.</w:t>
      </w:r>
    </w:p>
    <w:p>
      <w:pPr>
        <w:pStyle w:val="Heading1"/>
      </w:pPr>
      <w:r>
        <w:t>9. Data Quality &amp; Validation</w:t>
      </w:r>
    </w:p>
    <w:p>
      <w:r>
        <w:t>The cleaned dataset contains 560 rows with no duplicate rows. One invalid IMDb value (43.0 for Maya) was converted to missing rather than being guessed or silently corrected. One trailer-view value (Jersey) could not be converted to numeric and remains missing. The zero-revenue record for The White Tiger was retained and flagged, and legitimate low-budget movies were retained because unusual values are not automatically data errors.</w:t>
      </w:r>
    </w:p>
    <w:p>
      <w:pPr>
        <w:pStyle w:val="Heading1"/>
      </w:pPr>
      <w:r>
        <w:t>10. Data Limitation</w:t>
      </w:r>
    </w:p>
    <w:p>
      <w:r>
        <w:t>The current source dataset does not contain a movie release-year/date field. Therefore, reliable year-over-year revenue analysis and annual trend reporting could not be performed without introducing unsupported information.</w:t>
      </w:r>
    </w:p>
    <w:p>
      <w:pPr>
        <w:pStyle w:val="Heading1"/>
      </w:pPr>
      <w:r>
        <w:t>11. Conclusion</w:t>
      </w:r>
    </w:p>
    <w:p>
      <w:r>
        <w:t>The analysis demonstrates that movie performance is influenced by multiple dimensions rather than budget alone. Action is the strongest absolute revenue driver, higher director and lead-actor success scores are associated with stronger commercial outcomes, and trailer views provide a useful indicator of audience interest. At the same time, ROI can be distorted by very small budgets, making combined profitability reporting essential.</w:t>
      </w:r>
    </w:p>
    <w:p>
      <w:r>
        <w:t>The resulting Python, MySQL, Excel, and Power BI workflow provides a reusable foundation for movie-performance analysis while maintaining explicit data-quality controls and transparent limitations.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South Indian Movie Box Office &amp; Revenue Intelligence | Strategic Insights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