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3623A">
      <w:pPr>
        <w:jc w:val="center"/>
        <w:rPr>
          <w:rFonts w:hint="default" w:eastAsia="宋体"/>
          <w:b/>
          <w:color w:val="FF0000"/>
          <w:sz w:val="44"/>
          <w:szCs w:val="44"/>
          <w:lang w:val="en-US" w:eastAsia="zh-CN"/>
        </w:rPr>
      </w:pPr>
    </w:p>
    <w:p w14:paraId="67FC61F7">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402B9755">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7B60494C">
      <w:pPr>
        <w:ind w:firstLine="270" w:firstLineChars="100"/>
        <w:jc w:val="both"/>
        <w:rPr>
          <w:rFonts w:hint="eastAsia" w:ascii="宋体" w:hAnsi="宋体"/>
          <w:color w:val="000000"/>
          <w:sz w:val="27"/>
          <w:szCs w:val="27"/>
        </w:rPr>
      </w:pPr>
    </w:p>
    <w:p w14:paraId="266CA27D">
      <w:pPr>
        <w:jc w:val="center"/>
        <w:rPr>
          <w:rFonts w:hint="default" w:ascii="宋体" w:hAnsi="宋体"/>
          <w:szCs w:val="21"/>
          <w:lang w:val="en-US"/>
        </w:rPr>
      </w:pPr>
      <w:bookmarkStart w:id="3"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19</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3"/>
    <w:p w14:paraId="2B8F2246">
      <w:pPr>
        <w:jc w:val="center"/>
        <w:rPr>
          <w:rFonts w:hint="eastAsia"/>
          <w:szCs w:val="21"/>
        </w:rPr>
      </w:pPr>
    </w:p>
    <w:p w14:paraId="6FEE3EFF">
      <w:pPr>
        <w:jc w:val="center"/>
        <w:rPr>
          <w:rFonts w:hint="eastAsia" w:eastAsia="宋体"/>
          <w:szCs w:val="21"/>
          <w:lang w:val="en-US" w:eastAsia="zh-CN"/>
        </w:rPr>
      </w:pPr>
      <w:r>
        <w:rPr>
          <w:rFonts w:hint="eastAsia"/>
          <w:szCs w:val="21"/>
          <w:lang w:val="en-US" w:eastAsia="zh-CN"/>
        </w:rPr>
        <w:t xml:space="preserve"> </w:t>
      </w:r>
    </w:p>
    <w:p w14:paraId="4EDE17DB">
      <w:pPr>
        <w:rPr>
          <w:rFonts w:hint="eastAsia"/>
          <w:szCs w:val="21"/>
        </w:rPr>
      </w:pPr>
    </w:p>
    <w:p w14:paraId="2E0E604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spacing w:val="0"/>
          <w:sz w:val="44"/>
          <w:szCs w:val="44"/>
          <w:lang w:eastAsia="zh-CN"/>
        </w:rPr>
      </w:pPr>
      <w:bookmarkStart w:id="0" w:name="OLE_LINK1"/>
      <w:r>
        <w:rPr>
          <w:rFonts w:hint="eastAsia" w:ascii="宋体" w:hAnsi="宋体" w:eastAsia="宋体" w:cs="宋体"/>
          <w:b/>
          <w:bCs w:val="0"/>
          <w:spacing w:val="0"/>
          <w:sz w:val="44"/>
          <w:szCs w:val="44"/>
        </w:rPr>
        <w:t>关于印发</w:t>
      </w:r>
      <w:r>
        <w:rPr>
          <w:rFonts w:hint="eastAsia" w:ascii="宋体" w:hAnsi="宋体" w:eastAsia="宋体" w:cs="宋体"/>
          <w:b/>
          <w:bCs w:val="0"/>
          <w:spacing w:val="0"/>
          <w:sz w:val="44"/>
          <w:szCs w:val="44"/>
          <w:lang w:eastAsia="zh-CN"/>
        </w:rPr>
        <w:t>《中共河北建筑工程学院委员会</w:t>
      </w:r>
    </w:p>
    <w:p w14:paraId="7E22F0D1">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spacing w:val="-20"/>
          <w:sz w:val="44"/>
          <w:szCs w:val="44"/>
        </w:rPr>
      </w:pPr>
      <w:r>
        <w:rPr>
          <w:rFonts w:hint="eastAsia" w:ascii="宋体" w:hAnsi="宋体" w:eastAsia="宋体" w:cs="宋体"/>
          <w:b/>
          <w:bCs w:val="0"/>
          <w:spacing w:val="-20"/>
          <w:sz w:val="44"/>
          <w:szCs w:val="44"/>
        </w:rPr>
        <w:t>关于二级党组织加强政治把关的</w:t>
      </w:r>
      <w:bookmarkStart w:id="1" w:name="OLE_LINK3"/>
      <w:r>
        <w:rPr>
          <w:rFonts w:hint="eastAsia" w:ascii="宋体" w:hAnsi="宋体" w:eastAsia="宋体" w:cs="宋体"/>
          <w:b/>
          <w:bCs w:val="0"/>
          <w:spacing w:val="-20"/>
          <w:sz w:val="44"/>
          <w:szCs w:val="44"/>
        </w:rPr>
        <w:t>实施意见</w:t>
      </w:r>
      <w:bookmarkEnd w:id="1"/>
      <w:r>
        <w:rPr>
          <w:rFonts w:hint="eastAsia" w:ascii="宋体" w:hAnsi="宋体" w:eastAsia="宋体" w:cs="宋体"/>
          <w:b/>
          <w:bCs w:val="0"/>
          <w:spacing w:val="-20"/>
          <w:sz w:val="44"/>
          <w:szCs w:val="44"/>
          <w:lang w:eastAsia="zh-CN"/>
        </w:rPr>
        <w:t>》</w:t>
      </w:r>
      <w:r>
        <w:rPr>
          <w:rFonts w:hint="eastAsia" w:ascii="宋体" w:hAnsi="宋体" w:eastAsia="宋体" w:cs="宋体"/>
          <w:b/>
          <w:bCs w:val="0"/>
          <w:spacing w:val="-20"/>
          <w:sz w:val="44"/>
          <w:szCs w:val="44"/>
        </w:rPr>
        <w:t>的</w:t>
      </w:r>
    </w:p>
    <w:p w14:paraId="5C2E995B">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spacing w:val="0"/>
          <w:sz w:val="44"/>
          <w:szCs w:val="44"/>
        </w:rPr>
      </w:pPr>
      <w:r>
        <w:rPr>
          <w:rFonts w:hint="eastAsia" w:ascii="宋体" w:hAnsi="宋体" w:eastAsia="宋体" w:cs="宋体"/>
          <w:b/>
          <w:bCs w:val="0"/>
          <w:spacing w:val="0"/>
          <w:sz w:val="44"/>
          <w:szCs w:val="44"/>
        </w:rPr>
        <w:t>通</w:t>
      </w:r>
      <w:r>
        <w:rPr>
          <w:rFonts w:hint="eastAsia" w:ascii="宋体" w:hAnsi="宋体" w:eastAsia="宋体" w:cs="宋体"/>
          <w:b/>
          <w:bCs w:val="0"/>
          <w:spacing w:val="0"/>
          <w:sz w:val="44"/>
          <w:szCs w:val="44"/>
          <w:lang w:val="en-US" w:eastAsia="zh-CN"/>
        </w:rPr>
        <w:t xml:space="preserve">  </w:t>
      </w:r>
      <w:r>
        <w:rPr>
          <w:rFonts w:hint="eastAsia" w:ascii="宋体" w:hAnsi="宋体" w:eastAsia="宋体" w:cs="宋体"/>
          <w:b/>
          <w:bCs w:val="0"/>
          <w:spacing w:val="0"/>
          <w:sz w:val="44"/>
          <w:szCs w:val="44"/>
        </w:rPr>
        <w:t>知</w:t>
      </w:r>
      <w:bookmarkEnd w:id="0"/>
    </w:p>
    <w:p w14:paraId="0693791D">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spacing w:val="0"/>
          <w:sz w:val="44"/>
          <w:szCs w:val="44"/>
          <w:lang w:val="en-US" w:eastAsia="zh-CN"/>
        </w:rPr>
      </w:pPr>
    </w:p>
    <w:p w14:paraId="0123CCF3">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仿宋" w:hAnsi="仿宋" w:eastAsia="仿宋" w:cs="仿宋"/>
          <w:color w:val="000000"/>
          <w:sz w:val="32"/>
          <w:szCs w:val="32"/>
          <w:lang w:val="en-US" w:eastAsia="zh-CN" w:bidi="ar-SA"/>
        </w:rPr>
      </w:pPr>
      <w:bookmarkStart w:id="2" w:name="OLE_LINK2"/>
      <w:r>
        <w:rPr>
          <w:rFonts w:hint="eastAsia" w:ascii="仿宋" w:hAnsi="仿宋" w:eastAsia="仿宋" w:cs="仿宋"/>
          <w:color w:val="000000"/>
          <w:sz w:val="32"/>
          <w:szCs w:val="32"/>
          <w:lang w:val="en-US" w:eastAsia="zh-CN" w:bidi="ar-SA"/>
        </w:rPr>
        <w:t>各二级党委（党总支）、直属党支部</w:t>
      </w:r>
      <w:bookmarkEnd w:id="2"/>
      <w:r>
        <w:rPr>
          <w:rFonts w:hint="eastAsia" w:ascii="仿宋" w:hAnsi="仿宋" w:eastAsia="仿宋" w:cs="仿宋"/>
          <w:color w:val="000000"/>
          <w:sz w:val="32"/>
          <w:szCs w:val="32"/>
          <w:lang w:val="en-US" w:eastAsia="zh-CN" w:bidi="ar-SA"/>
        </w:rPr>
        <w:t>：</w:t>
      </w:r>
    </w:p>
    <w:p w14:paraId="69DB43BD">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为进一步强化政治引领，牢牢把握社会主义办学方向，充分发挥二级党组织的政治核心作用，履行政治责任，把握好教学、科研、管理等重大事项中的政治原则、政治立场、政治方向，坚持用习近平新时代中国特色社会主义思想武装教师头脑，把培育和践行社会主义核心价值观融入教书育人全过程。现就二级党组织关于教师引进、教师队伍建设、课程建设、教材选用、学术活动等重大问题中把好政治关作如下规定。</w:t>
      </w:r>
    </w:p>
    <w:p w14:paraId="2B10EC77">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黑体" w:hAnsi="黑体" w:eastAsia="黑体"/>
          <w:sz w:val="32"/>
          <w:szCs w:val="32"/>
        </w:rPr>
      </w:pPr>
    </w:p>
    <w:p w14:paraId="4ECAD81F">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黑体" w:hAnsi="黑体" w:eastAsia="黑体"/>
          <w:sz w:val="32"/>
          <w:szCs w:val="32"/>
        </w:rPr>
      </w:pPr>
      <w:r>
        <w:rPr>
          <w:rFonts w:hint="eastAsia" w:ascii="黑体" w:hAnsi="黑体" w:eastAsia="黑体"/>
          <w:sz w:val="32"/>
          <w:szCs w:val="32"/>
        </w:rPr>
        <w:t>一、加强对政治把关工作的领导</w:t>
      </w:r>
    </w:p>
    <w:p w14:paraId="755FFC88">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（一）二级党组织要切实担负起政治责任和领导责任，增强驾驭能力，做到守土有责、守土尽责。要把严把政治关情况纳入对意识形态领域情况的定期分析研判中，努力形成把控有力、协调统一的工作机制。</w:t>
      </w:r>
    </w:p>
    <w:p w14:paraId="18A65671">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（二）健全集体领导、党政分工合作、协调运行的工作机制，主要负责人履行领导责任，班子成员要担负起“一岗双责”的责任，切实抓好分管范围内的政治把关工作。</w:t>
      </w:r>
    </w:p>
    <w:p w14:paraId="509294F1">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黑体" w:hAnsi="黑体" w:eastAsia="黑体"/>
          <w:sz w:val="32"/>
          <w:szCs w:val="32"/>
        </w:rPr>
      </w:pPr>
      <w:r>
        <w:rPr>
          <w:rFonts w:hint="eastAsia" w:ascii="黑体" w:hAnsi="黑体" w:eastAsia="黑体"/>
          <w:sz w:val="32"/>
          <w:szCs w:val="32"/>
        </w:rPr>
        <w:t>二、在教师招聘及人才引进中加强政治把关</w:t>
      </w:r>
    </w:p>
    <w:p w14:paraId="0B05ACA2">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一）严格按照标准和程序，坚持德才兼备、以德为先，坚持正确的政治方向，把拟引进教师的政治素质作为资格审查第一关，严把人选政治关、品行关、作风关、廉洁关。把政治表现、政治素质作为首要标准，政治表现、政治素质不合格的一票否决。</w:t>
      </w:r>
    </w:p>
    <w:p w14:paraId="0405AD25">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（二）教师招聘和人才引进考察工作中要重点考察引进教师的政治思想状况、职业规划、职业道德、职业信仰，坚持“立德树人”根本任务，把好入口关。</w:t>
      </w:r>
    </w:p>
    <w:p w14:paraId="5CCEB476">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（三）二级党组织要全程参与和监督教师招聘及人才引进工作，教师招聘和人才引进计划。</w:t>
      </w:r>
    </w:p>
    <w:p w14:paraId="1CF49D63">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黑体" w:hAnsi="黑体" w:eastAsia="黑体"/>
          <w:sz w:val="32"/>
          <w:szCs w:val="32"/>
        </w:rPr>
      </w:pPr>
      <w:r>
        <w:rPr>
          <w:rFonts w:hint="eastAsia" w:ascii="黑体" w:hAnsi="黑体" w:eastAsia="黑体"/>
          <w:sz w:val="32"/>
          <w:szCs w:val="32"/>
        </w:rPr>
        <w:t>三、在教师队伍建设中加强政治把关</w:t>
      </w:r>
    </w:p>
    <w:p w14:paraId="55C46CE0">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（一）认真落实教师党支部书记“双带头人”制度，实施“双带头人”培养工程，把骨干教师培养成党员，把优秀党员培养成骨干教师，充分发挥先进典型的模范引领作用。</w:t>
      </w:r>
    </w:p>
    <w:p w14:paraId="5642F505">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（二）强化师德师风建设，认真加强对教师的纪律教育，规范教师言行，引导广大教师以德立身、以德立学、以德施教，坚决抵制社会不良风气，争当“四有”好老师。</w:t>
      </w:r>
    </w:p>
    <w:p w14:paraId="76534180">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（三）加强教师出国出境访学和国内访学管理。针对出国进修、因公访学不在学校的教师，要采取多种形式，加强其政治教育和督导力度，抵御不良思潮和错误言论的侵蚀。</w:t>
      </w:r>
    </w:p>
    <w:p w14:paraId="76254BC8">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（四）要经常性研究教师队伍建设情况，将思想政治表现作为年度考核、聘期考核、职称评审、评优评先的前置条件，严把政治关口。</w:t>
      </w:r>
    </w:p>
    <w:p w14:paraId="30D73623">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黑体" w:hAnsi="黑体" w:eastAsia="黑体"/>
          <w:sz w:val="32"/>
          <w:szCs w:val="32"/>
        </w:rPr>
      </w:pPr>
      <w:r>
        <w:rPr>
          <w:rFonts w:hint="eastAsia" w:ascii="黑体" w:hAnsi="黑体" w:eastAsia="黑体"/>
          <w:sz w:val="32"/>
          <w:szCs w:val="32"/>
        </w:rPr>
        <w:t>四、在教育教学活动中加强政治把关</w:t>
      </w:r>
    </w:p>
    <w:p w14:paraId="713439FA">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一）严格课堂教学管理，引导教师牢记职责和使命，增强政治素养、职业素养和道德素养。严格教师上课纪律，要求教师课堂教学坚持正确的政治立场和政治方向，坚持学术研究无禁区，课堂讲授有纪律，并加强日常监督和管理。</w:t>
      </w:r>
    </w:p>
    <w:p w14:paraId="6784C743">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二）严格规范教师网络言行，充分利用网络平台，创新思想政治教育内容，强化网络育人功能。规范教师网络言行，增强教师自我约束能力，自觉抵御网络不良信息侵袭，做到不传谣、不信谣，扬正气、树新风。</w:t>
      </w:r>
    </w:p>
    <w:p w14:paraId="307DBA89">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黑体" w:hAnsi="黑体" w:eastAsia="黑体"/>
          <w:sz w:val="32"/>
          <w:szCs w:val="32"/>
        </w:rPr>
      </w:pPr>
      <w:r>
        <w:rPr>
          <w:rFonts w:hint="eastAsia" w:ascii="黑体" w:hAnsi="黑体" w:eastAsia="黑体"/>
          <w:sz w:val="32"/>
          <w:szCs w:val="32"/>
        </w:rPr>
        <w:t>五、在教材选用中严格政治把关</w:t>
      </w:r>
    </w:p>
    <w:p w14:paraId="14825481">
      <w:pPr>
        <w:keepNext w:val="0"/>
        <w:keepLines w:val="0"/>
        <w:pageBreakBefore w:val="0"/>
        <w:widowControl w:val="0"/>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（一）选用教材时，凡有“马工程”教材的必须使用，对因没有“马工程”教材而使用其他教材的，要严格做好政治把关。</w:t>
      </w:r>
    </w:p>
    <w:p w14:paraId="1B31BDB9">
      <w:pPr>
        <w:keepNext w:val="0"/>
        <w:keepLines w:val="0"/>
        <w:pageBreakBefore w:val="0"/>
        <w:widowControl w:val="0"/>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（二）对使用教师自编教材的，应严格审查自编教材的内容和质量，确保办学的政治定位。</w:t>
      </w:r>
    </w:p>
    <w:p w14:paraId="01888268">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黑体" w:hAnsi="黑体" w:eastAsia="黑体"/>
          <w:sz w:val="32"/>
          <w:szCs w:val="32"/>
        </w:rPr>
      </w:pPr>
      <w:r>
        <w:rPr>
          <w:rFonts w:hint="eastAsia" w:ascii="黑体" w:hAnsi="黑体" w:eastAsia="黑体"/>
          <w:sz w:val="32"/>
          <w:szCs w:val="32"/>
        </w:rPr>
        <w:t>六、在课程建设中加强政治把关</w:t>
      </w:r>
    </w:p>
    <w:p w14:paraId="0B1CB0B5">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（一）制定完善课程设置管理制度，对本单位所开设课程，特别是意识形态属性较强的课程，要严格进行政治把关。</w:t>
      </w:r>
    </w:p>
    <w:p w14:paraId="319CBCCE">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（二）指导教师开展课程建设，要把坚持正确政治方向和价值导向贯穿课程建设全过程，把课程思政建设有机</w:t>
      </w:r>
      <w:r>
        <w:rPr>
          <w:rFonts w:hint="eastAsia" w:ascii="仿宋" w:hAnsi="仿宋" w:eastAsia="仿宋"/>
          <w:sz w:val="32"/>
          <w:szCs w:val="32"/>
          <w:lang w:eastAsia="zh-CN"/>
        </w:rPr>
        <w:t>地</w:t>
      </w:r>
      <w:r>
        <w:rPr>
          <w:rFonts w:hint="eastAsia" w:ascii="仿宋" w:hAnsi="仿宋" w:eastAsia="仿宋"/>
          <w:sz w:val="32"/>
          <w:szCs w:val="32"/>
        </w:rPr>
        <w:t>融入到课程建设中。</w:t>
      </w:r>
    </w:p>
    <w:p w14:paraId="4B39D349">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黑体" w:hAnsi="黑体" w:eastAsia="黑体"/>
          <w:sz w:val="32"/>
          <w:szCs w:val="32"/>
        </w:rPr>
      </w:pPr>
      <w:r>
        <w:rPr>
          <w:rFonts w:hint="eastAsia" w:ascii="黑体" w:hAnsi="黑体" w:eastAsia="黑体"/>
          <w:sz w:val="32"/>
          <w:szCs w:val="32"/>
        </w:rPr>
        <w:t>七、在学术活动中加强政治把关</w:t>
      </w:r>
    </w:p>
    <w:p w14:paraId="54920E9C">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（一）严格落实学术活动管理，坚持“一会一报”，严格过程管理，严格落实意识形态工作责任制，强化和规范阵地管理，杜绝因责任落实不到位、不按程序和时限报批造成漏管失察的情况。</w:t>
      </w:r>
    </w:p>
    <w:p w14:paraId="230EFB6C">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sz w:val="32"/>
          <w:szCs w:val="32"/>
        </w:rPr>
      </w:pPr>
      <w:r>
        <w:rPr>
          <w:rFonts w:hint="eastAsia" w:ascii="仿宋" w:hAnsi="仿宋" w:eastAsia="仿宋"/>
          <w:sz w:val="32"/>
          <w:szCs w:val="32"/>
        </w:rPr>
        <w:t>（二）提前审核学术活动授课人的背景、言行、学术活动的内容，确保具有正确的政治导向。及时上报学术活动计划，加强过程监管，发现问题及时引导和处置。</w:t>
      </w:r>
    </w:p>
    <w:p w14:paraId="074530F4">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黑体" w:hAnsi="黑体" w:eastAsia="黑体"/>
          <w:sz w:val="32"/>
          <w:szCs w:val="32"/>
        </w:rPr>
      </w:pPr>
      <w:r>
        <w:rPr>
          <w:rFonts w:hint="eastAsia" w:ascii="黑体" w:hAnsi="黑体" w:eastAsia="黑体"/>
          <w:sz w:val="32"/>
          <w:szCs w:val="32"/>
        </w:rPr>
        <w:t>八、附则</w:t>
      </w:r>
    </w:p>
    <w:p w14:paraId="475182D2">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cs="Times New Roman"/>
          <w:sz w:val="32"/>
          <w:szCs w:val="32"/>
        </w:rPr>
      </w:pPr>
      <w:r>
        <w:rPr>
          <w:rFonts w:hint="eastAsia" w:ascii="仿宋" w:hAnsi="仿宋" w:eastAsia="仿宋" w:cs="Times New Roman"/>
          <w:sz w:val="32"/>
          <w:szCs w:val="32"/>
        </w:rPr>
        <w:t>（一）各二级院系结合实际情况制定具体实施细则。</w:t>
      </w:r>
    </w:p>
    <w:p w14:paraId="0C83B1EC">
      <w:pPr>
        <w:keepNext w:val="0"/>
        <w:keepLines w:val="0"/>
        <w:pageBreakBefore w:val="0"/>
        <w:widowControl/>
        <w:kinsoku/>
        <w:wordWrap/>
        <w:overflowPunct/>
        <w:topLinePunct w:val="0"/>
        <w:autoSpaceDE/>
        <w:autoSpaceDN/>
        <w:bidi w:val="0"/>
        <w:adjustRightInd/>
        <w:snapToGrid/>
        <w:spacing w:after="0" w:line="58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Times New Roman"/>
          <w:sz w:val="32"/>
          <w:szCs w:val="32"/>
        </w:rPr>
        <w:t>（二）本实施意见由党委组织部负责解释，自印发之日起施行。</w:t>
      </w:r>
    </w:p>
    <w:p w14:paraId="2841FF97">
      <w:pPr>
        <w:keepNext w:val="0"/>
        <w:keepLines w:val="0"/>
        <w:pageBreakBefore w:val="0"/>
        <w:widowControl w:val="0"/>
        <w:kinsoku/>
        <w:wordWrap/>
        <w:overflowPunct/>
        <w:topLinePunct w:val="0"/>
        <w:autoSpaceDE/>
        <w:autoSpaceDN/>
        <w:bidi w:val="0"/>
        <w:adjustRightInd/>
        <w:snapToGrid/>
        <w:spacing w:line="560" w:lineRule="exact"/>
        <w:ind w:left="0" w:leftChars="0" w:right="840" w:rightChars="400" w:firstLine="0" w:firstLineChars="0"/>
        <w:jc w:val="right"/>
        <w:textAlignment w:val="auto"/>
        <w:outlineLvl w:val="9"/>
        <w:rPr>
          <w:rFonts w:hint="eastAsia" w:ascii="仿宋" w:hAnsi="仿宋" w:eastAsia="仿宋" w:cs="仿宋"/>
          <w:sz w:val="32"/>
          <w:szCs w:val="32"/>
          <w:lang w:val="en-US" w:eastAsia="zh-CN"/>
        </w:rPr>
      </w:pPr>
    </w:p>
    <w:p w14:paraId="55BF21F4">
      <w:pPr>
        <w:keepNext w:val="0"/>
        <w:keepLines w:val="0"/>
        <w:pageBreakBefore w:val="0"/>
        <w:widowControl w:val="0"/>
        <w:kinsoku/>
        <w:wordWrap/>
        <w:overflowPunct/>
        <w:topLinePunct w:val="0"/>
        <w:autoSpaceDE/>
        <w:autoSpaceDN/>
        <w:bidi w:val="0"/>
        <w:adjustRightInd/>
        <w:snapToGrid/>
        <w:spacing w:line="560" w:lineRule="exact"/>
        <w:ind w:left="0" w:leftChars="0" w:right="840" w:rightChars="400" w:firstLine="0" w:firstLineChars="0"/>
        <w:jc w:val="right"/>
        <w:textAlignment w:val="auto"/>
        <w:outlineLvl w:val="9"/>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2025年4月3日</w:t>
      </w:r>
    </w:p>
    <w:p w14:paraId="46753C33">
      <w:pPr>
        <w:pStyle w:val="2"/>
        <w:rPr>
          <w:rFonts w:hint="eastAsia" w:ascii="仿宋" w:hAnsi="仿宋" w:eastAsia="仿宋" w:cs="仿宋"/>
          <w:sz w:val="32"/>
          <w:szCs w:val="32"/>
          <w:lang w:val="en-US" w:eastAsia="zh-CN"/>
        </w:rPr>
      </w:pPr>
    </w:p>
    <w:p w14:paraId="4BA85D37">
      <w:pPr>
        <w:pStyle w:val="2"/>
        <w:rPr>
          <w:rFonts w:hint="eastAsia" w:ascii="仿宋" w:hAnsi="仿宋" w:eastAsia="仿宋" w:cs="仿宋"/>
          <w:sz w:val="32"/>
          <w:szCs w:val="32"/>
          <w:lang w:val="en-US" w:eastAsia="zh-CN"/>
        </w:rPr>
      </w:pPr>
    </w:p>
    <w:p w14:paraId="0AC24FFB">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jc w:val="center"/>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20</w:t>
      </w:r>
      <w:r>
        <w:rPr>
          <w:rFonts w:hint="eastAsia" w:ascii="仿宋" w:hAnsi="仿宋" w:eastAsia="仿宋" w:cs="仿宋"/>
          <w:sz w:val="28"/>
          <w:szCs w:val="28"/>
          <w:lang w:val="en-US" w:eastAsia="zh-CN"/>
        </w:rPr>
        <w:t>25</w:t>
      </w:r>
      <w:r>
        <w:rPr>
          <w:rFonts w:hint="eastAsia" w:ascii="仿宋" w:hAnsi="仿宋" w:eastAsia="仿宋" w:cs="仿宋"/>
          <w:sz w:val="28"/>
          <w:szCs w:val="28"/>
        </w:rPr>
        <w:t>年</w:t>
      </w:r>
      <w:r>
        <w:rPr>
          <w:rFonts w:hint="eastAsia" w:ascii="仿宋" w:hAnsi="仿宋" w:eastAsia="仿宋" w:cs="仿宋"/>
          <w:sz w:val="28"/>
          <w:szCs w:val="28"/>
          <w:lang w:val="en-US" w:eastAsia="zh-CN"/>
        </w:rPr>
        <w:t>4</w:t>
      </w:r>
      <w:r>
        <w:rPr>
          <w:rFonts w:hint="eastAsia" w:ascii="仿宋" w:hAnsi="仿宋" w:eastAsia="仿宋" w:cs="仿宋"/>
          <w:sz w:val="28"/>
          <w:szCs w:val="28"/>
        </w:rPr>
        <w:t>月</w:t>
      </w:r>
      <w:r>
        <w:rPr>
          <w:rFonts w:hint="eastAsia" w:ascii="仿宋" w:hAnsi="仿宋" w:eastAsia="仿宋" w:cs="仿宋"/>
          <w:sz w:val="28"/>
          <w:szCs w:val="28"/>
          <w:lang w:val="en-US" w:eastAsia="zh-CN"/>
        </w:rPr>
        <w:t>3</w:t>
      </w:r>
      <w:r>
        <w:rPr>
          <w:rFonts w:hint="eastAsia" w:ascii="仿宋" w:hAnsi="仿宋" w:eastAsia="仿宋" w:cs="仿宋"/>
          <w:sz w:val="28"/>
          <w:szCs w:val="28"/>
        </w:rPr>
        <w:t xml:space="preserve">日印发 </w:t>
      </w:r>
    </w:p>
    <w:p w14:paraId="51602414"/>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A5F4F">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12906B">
                          <w:pPr>
                            <w:pStyle w:val="3"/>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0B12906B">
                    <w:pPr>
                      <w:pStyle w:val="3"/>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2F430F"/>
    <w:rsid w:val="0A2F43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footer"/>
    <w:basedOn w:val="1"/>
    <w:uiPriority w:val="0"/>
    <w:pPr>
      <w:tabs>
        <w:tab w:val="center" w:pos="4153"/>
        <w:tab w:val="right" w:pos="8306"/>
      </w:tabs>
      <w:snapToGrid w:val="0"/>
      <w:spacing w:line="240" w:lineRule="atLeas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2025-04-03T06:57:00Z</dcterms:created>
  <dc:creator>aa</dc:creator>
  <cp:lastModifiedBy>aa</cp:lastModifiedBy>
  <dcterms:modified xsi:type="dcterms:W3CDTF">2025-04-03T06:58:22Z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A9861BAC28A94FCABFBAE6E544BC87F0_11</vt:lpwstr>
  </property>
  <property fmtid="{D5CDD505-2E9C-101B-9397-08002B2CF9AE}" pid="4" name="KSOTemplateDocerSaveRecord">
    <vt:lpwstr>eyJoZGlkIjoiOGY4ODMwOWI2ZDE2OWVjY2Y4YWZhZDdhYzI3MTc2NzUifQ==</vt:lpwstr>
  </property>
</Properties>
</file>