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E54E7">
      <w:pPr>
        <w:jc w:val="center"/>
        <w:rPr>
          <w:rFonts w:hint="default" w:eastAsia="宋体"/>
          <w:b/>
          <w:color w:val="FF0000"/>
          <w:sz w:val="44"/>
          <w:szCs w:val="44"/>
          <w:lang w:val="en-US" w:eastAsia="zh-CN"/>
        </w:rPr>
      </w:pPr>
    </w:p>
    <w:p w14:paraId="068D3238">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298A908B">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621235AE">
      <w:pPr>
        <w:ind w:firstLine="270" w:firstLineChars="100"/>
        <w:jc w:val="both"/>
        <w:rPr>
          <w:rFonts w:hint="eastAsia" w:ascii="宋体" w:hAnsi="宋体"/>
          <w:color w:val="000000"/>
          <w:sz w:val="27"/>
          <w:szCs w:val="27"/>
        </w:rPr>
      </w:pPr>
    </w:p>
    <w:p w14:paraId="20D1BFA1">
      <w:pPr>
        <w:jc w:val="center"/>
        <w:rPr>
          <w:rFonts w:hint="default" w:ascii="宋体" w:hAnsi="宋体"/>
          <w:szCs w:val="21"/>
          <w:lang w:val="en-US"/>
        </w:rPr>
      </w:pPr>
      <w:bookmarkStart w:id="2"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39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2"/>
    <w:p w14:paraId="20BE9427">
      <w:pPr>
        <w:jc w:val="center"/>
        <w:rPr>
          <w:rFonts w:hint="eastAsia"/>
          <w:szCs w:val="21"/>
        </w:rPr>
      </w:pPr>
    </w:p>
    <w:p w14:paraId="1BC93292">
      <w:pPr>
        <w:jc w:val="center"/>
        <w:rPr>
          <w:rFonts w:hint="eastAsia" w:eastAsia="宋体"/>
          <w:szCs w:val="21"/>
          <w:lang w:val="en-US" w:eastAsia="zh-CN"/>
        </w:rPr>
      </w:pPr>
      <w:r>
        <w:rPr>
          <w:rFonts w:hint="eastAsia"/>
          <w:szCs w:val="21"/>
          <w:lang w:val="en-US" w:eastAsia="zh-CN"/>
        </w:rPr>
        <w:t xml:space="preserve"> </w:t>
      </w:r>
    </w:p>
    <w:p w14:paraId="376548F8">
      <w:pPr>
        <w:rPr>
          <w:rFonts w:hint="eastAsia"/>
          <w:szCs w:val="21"/>
        </w:rPr>
      </w:pPr>
    </w:p>
    <w:p w14:paraId="23B638C0">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Times New Roman" w:hAnsi="Times New Roman" w:eastAsia="宋体" w:cs="Times New Roman"/>
          <w:b/>
          <w:bCs/>
          <w:spacing w:val="0"/>
          <w:sz w:val="44"/>
          <w:szCs w:val="44"/>
          <w:lang w:eastAsia="zh-CN"/>
        </w:rPr>
      </w:pPr>
      <w:bookmarkStart w:id="0" w:name="OLE_LINK1"/>
      <w:r>
        <w:rPr>
          <w:rFonts w:hint="eastAsia" w:ascii="Times New Roman" w:hAnsi="Times New Roman" w:eastAsia="宋体" w:cs="Times New Roman"/>
          <w:b/>
          <w:bCs/>
          <w:spacing w:val="0"/>
          <w:sz w:val="44"/>
          <w:szCs w:val="44"/>
          <w:lang w:val="en-US" w:eastAsia="zh-CN"/>
        </w:rPr>
        <w:t>关于开展办公用房专项排查整治工作的通知</w:t>
      </w:r>
      <w:bookmarkEnd w:id="0"/>
    </w:p>
    <w:p w14:paraId="2E8797CD">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b/>
          <w:bCs/>
          <w:sz w:val="36"/>
          <w:szCs w:val="36"/>
        </w:rPr>
      </w:pPr>
    </w:p>
    <w:p w14:paraId="23396BFF">
      <w:pPr>
        <w:keepNext w:val="0"/>
        <w:keepLines w:val="0"/>
        <w:pageBreakBefore w:val="0"/>
        <w:widowControl/>
        <w:kinsoku/>
        <w:wordWrap/>
        <w:overflowPunct/>
        <w:topLinePunct w:val="0"/>
        <w:autoSpaceDE/>
        <w:autoSpaceDN/>
        <w:bidi w:val="0"/>
        <w:adjustRightInd/>
        <w:snapToGrid/>
        <w:spacing w:line="620" w:lineRule="exact"/>
        <w:textAlignment w:val="auto"/>
        <w:rPr>
          <w:rFonts w:hint="eastAsia" w:ascii="仿宋" w:hAnsi="仿宋" w:eastAsia="仿宋" w:cs="仿宋"/>
          <w:b w:val="0"/>
          <w:bCs w:val="0"/>
          <w:color w:val="auto"/>
          <w:sz w:val="32"/>
          <w:szCs w:val="32"/>
          <w:lang w:val="en-US" w:eastAsia="zh-CN"/>
        </w:rPr>
      </w:pPr>
      <w:bookmarkStart w:id="1" w:name="OLE_LINK2"/>
      <w:r>
        <w:rPr>
          <w:rFonts w:hint="eastAsia" w:ascii="仿宋" w:hAnsi="仿宋" w:eastAsia="仿宋" w:cs="仿宋"/>
          <w:b w:val="0"/>
          <w:bCs w:val="0"/>
          <w:color w:val="auto"/>
          <w:sz w:val="32"/>
          <w:szCs w:val="32"/>
          <w:lang w:val="en-US" w:eastAsia="zh-CN"/>
        </w:rPr>
        <w:t>全校各单位</w:t>
      </w:r>
      <w:bookmarkEnd w:id="1"/>
      <w:r>
        <w:rPr>
          <w:rFonts w:hint="eastAsia" w:ascii="仿宋" w:hAnsi="仿宋" w:eastAsia="仿宋" w:cs="仿宋"/>
          <w:b w:val="0"/>
          <w:bCs w:val="0"/>
          <w:color w:val="auto"/>
          <w:sz w:val="32"/>
          <w:szCs w:val="32"/>
          <w:lang w:val="en-US" w:eastAsia="zh-CN"/>
        </w:rPr>
        <w:t>：</w:t>
      </w:r>
    </w:p>
    <w:p w14:paraId="23F17874">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_GB2312" w:eastAsia="仿宋_GB2312"/>
          <w:b w:val="0"/>
          <w:bCs/>
          <w:sz w:val="32"/>
          <w:szCs w:val="32"/>
          <w:lang w:val="en-US" w:eastAsia="zh-CN"/>
        </w:rPr>
      </w:pPr>
      <w:r>
        <w:rPr>
          <w:rFonts w:hint="eastAsia" w:ascii="仿宋" w:hAnsi="仿宋" w:eastAsia="仿宋" w:cs="仿宋"/>
          <w:b w:val="0"/>
          <w:bCs/>
          <w:sz w:val="32"/>
          <w:szCs w:val="32"/>
          <w:lang w:val="en-US" w:eastAsia="zh-CN"/>
        </w:rPr>
        <w:t>为进一步深入贯彻落实中央八项规定精神及其实施细则，按照《党政机关厉行节约反对浪费条例（最新修订）》文件要求，切实规范校内各单位办公用房使用管理，结合学校实际，决定在全校范围内开展</w:t>
      </w:r>
      <w:r>
        <w:rPr>
          <w:rFonts w:hint="eastAsia" w:ascii="仿宋" w:hAnsi="仿宋" w:eastAsia="仿宋" w:cs="仿宋"/>
          <w:b w:val="0"/>
          <w:bCs w:val="0"/>
          <w:color w:val="auto"/>
          <w:sz w:val="32"/>
          <w:szCs w:val="32"/>
          <w:lang w:val="en-US" w:eastAsia="zh-CN"/>
        </w:rPr>
        <w:t>办公用房专项排查整治工作，现将具体工作安排如下：</w:t>
      </w:r>
    </w:p>
    <w:p w14:paraId="63A46309">
      <w:pPr>
        <w:keepNext w:val="0"/>
        <w:keepLines w:val="0"/>
        <w:pageBreakBefore w:val="0"/>
        <w:widowControl/>
        <w:kinsoku/>
        <w:wordWrap/>
        <w:overflowPunct/>
        <w:topLinePunct w:val="0"/>
        <w:autoSpaceDE/>
        <w:autoSpaceDN/>
        <w:bidi w:val="0"/>
        <w:adjustRightInd/>
        <w:snapToGrid/>
        <w:spacing w:line="620" w:lineRule="exact"/>
        <w:ind w:firstLine="640" w:firstLineChars="200"/>
        <w:jc w:val="left"/>
        <w:textAlignment w:val="auto"/>
        <w:rPr>
          <w:rFonts w:hint="eastAsia" w:ascii="黑体" w:hAnsi="黑体" w:eastAsia="黑体" w:cs="黑体"/>
          <w:b w:val="0"/>
          <w:bCs/>
          <w:sz w:val="32"/>
          <w:szCs w:val="32"/>
          <w:lang w:val="en-US" w:eastAsia="zh-CN"/>
        </w:rPr>
      </w:pPr>
      <w:r>
        <w:rPr>
          <w:rFonts w:hint="eastAsia" w:ascii="黑体" w:hAnsi="黑体" w:eastAsia="黑体" w:cs="黑体"/>
          <w:b w:val="0"/>
          <w:bCs/>
          <w:sz w:val="32"/>
          <w:szCs w:val="32"/>
          <w:lang w:val="en-US" w:eastAsia="zh-CN"/>
        </w:rPr>
        <w:t>一、排查整改主要内容</w:t>
      </w:r>
    </w:p>
    <w:p w14:paraId="246520C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1.超规定面积标准配备、使用办公室用房。（正厅级每人使用面积为30㎡，副厅级每人使用面积为24㎡，正处级每人使用面积为18㎡，副处级每人使用面积为12㎡，处级以下每人使用面积为9㎡。）</w:t>
      </w:r>
    </w:p>
    <w:p w14:paraId="5C82DAD1">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2.违规多占办公用房。</w:t>
      </w:r>
    </w:p>
    <w:p w14:paraId="5022130E">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3.办公用房违规配备卫生间或休息室。</w:t>
      </w:r>
    </w:p>
    <w:p w14:paraId="40F797BC">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4.以虚设桌椅等方式弄虚作假搞变通。</w:t>
      </w:r>
    </w:p>
    <w:p w14:paraId="69024279">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5.未经批准出租出借办公用房。</w:t>
      </w:r>
    </w:p>
    <w:p w14:paraId="467AF801">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6.办公用房动态调整不及时，机构撤并后未腾退原办公用房，人员减少（工作调整、援疆、驻村、借调等情况）未及时调整办公用房。</w:t>
      </w:r>
    </w:p>
    <w:p w14:paraId="43D48093">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7.退休人员不按规定腾退办公用房。</w:t>
      </w:r>
    </w:p>
    <w:p w14:paraId="63E98EA0">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Style w:val="5"/>
          <w:rFonts w:hint="eastAsia" w:ascii="仿宋" w:hAnsi="仿宋" w:eastAsia="仿宋" w:cs="仿宋"/>
          <w:sz w:val="32"/>
          <w:szCs w:val="32"/>
        </w:rPr>
      </w:pPr>
      <w:r>
        <w:rPr>
          <w:rFonts w:hint="eastAsia" w:ascii="仿宋" w:hAnsi="仿宋" w:eastAsia="仿宋" w:cs="仿宋"/>
          <w:b w:val="0"/>
          <w:bCs/>
          <w:sz w:val="32"/>
          <w:szCs w:val="32"/>
          <w:lang w:val="en-US" w:eastAsia="zh-CN"/>
        </w:rPr>
        <w:t>8.办公室与资料室、库房等合并使用，变相超标使用办公情况。</w:t>
      </w:r>
    </w:p>
    <w:p w14:paraId="711006E9">
      <w:pPr>
        <w:keepNext w:val="0"/>
        <w:keepLines w:val="0"/>
        <w:pageBreakBefore w:val="0"/>
        <w:widowControl/>
        <w:kinsoku/>
        <w:wordWrap/>
        <w:overflowPunct/>
        <w:topLinePunct w:val="0"/>
        <w:autoSpaceDE/>
        <w:autoSpaceDN/>
        <w:bidi w:val="0"/>
        <w:adjustRightInd/>
        <w:snapToGrid/>
        <w:spacing w:line="620" w:lineRule="exact"/>
        <w:ind w:firstLine="640" w:firstLineChars="200"/>
        <w:jc w:val="left"/>
        <w:textAlignment w:val="auto"/>
        <w:rPr>
          <w:rFonts w:hint="eastAsia" w:ascii="黑体" w:hAnsi="黑体" w:eastAsia="黑体" w:cs="黑体"/>
          <w:b w:val="0"/>
          <w:bCs/>
          <w:sz w:val="32"/>
          <w:szCs w:val="32"/>
          <w:lang w:val="en-US" w:eastAsia="zh-CN"/>
        </w:rPr>
      </w:pPr>
      <w:r>
        <w:rPr>
          <w:rFonts w:hint="eastAsia" w:ascii="黑体" w:hAnsi="黑体" w:eastAsia="黑体" w:cs="黑体"/>
          <w:b w:val="0"/>
          <w:bCs/>
          <w:sz w:val="32"/>
          <w:szCs w:val="32"/>
          <w:lang w:val="en-US" w:eastAsia="zh-CN"/>
        </w:rPr>
        <w:t>二、排查整改工作安排</w:t>
      </w:r>
    </w:p>
    <w:p w14:paraId="7E5595F2">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1.自查自纠阶段：6月10日—6月13日。各单位要认真开展排查工作，上交自查自纠报告，对于超标准使用办公用房要提出整改落实措施和整改时间节点。自查自纠报告须经各单位党政主要负责人签字盖章后于6月13日前报学校纪委（监察）办公室（崇德楼A411室）。</w:t>
      </w:r>
    </w:p>
    <w:p w14:paraId="7BA4D542">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_GB2312" w:eastAsia="仿宋_GB2312"/>
          <w:b w:val="0"/>
          <w:bCs/>
          <w:sz w:val="32"/>
          <w:szCs w:val="32"/>
          <w:lang w:val="en-US" w:eastAsia="zh-CN"/>
        </w:rPr>
      </w:pPr>
      <w:r>
        <w:rPr>
          <w:rFonts w:hint="eastAsia" w:ascii="仿宋" w:hAnsi="仿宋" w:eastAsia="仿宋" w:cs="仿宋"/>
          <w:b w:val="0"/>
          <w:bCs/>
          <w:sz w:val="32"/>
          <w:szCs w:val="32"/>
          <w:lang w:val="en-US" w:eastAsia="zh-CN"/>
        </w:rPr>
        <w:t>2.监督检查阶段：6月16日—6月18日。学校纪委（监察）办公室、党委（校长）办公室、后勤管理处等部门组成检查组进行监督检查。</w:t>
      </w:r>
    </w:p>
    <w:p w14:paraId="031B239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黑体" w:hAnsi="黑体" w:eastAsia="黑体" w:cs="黑体"/>
          <w:b w:val="0"/>
          <w:bCs/>
          <w:sz w:val="32"/>
          <w:szCs w:val="32"/>
          <w:lang w:val="en-US" w:eastAsia="zh-CN"/>
        </w:rPr>
      </w:pPr>
      <w:r>
        <w:rPr>
          <w:rFonts w:hint="eastAsia" w:ascii="黑体" w:hAnsi="黑体" w:eastAsia="黑体" w:cs="黑体"/>
          <w:b w:val="0"/>
          <w:bCs/>
          <w:sz w:val="32"/>
          <w:szCs w:val="32"/>
          <w:lang w:val="en-US" w:eastAsia="zh-CN"/>
        </w:rPr>
        <w:t>三、排查整改工作要求</w:t>
      </w:r>
    </w:p>
    <w:p w14:paraId="792258A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1.提高认识。各单位要把本次办公用房排查整治工作作为贯彻落实中央八项规定精神、转变干部作风的重要举措来抓，严格对照标准，认真自查自纠，坚持优化配置，厉行勤俭节约，坚决杜绝形式主义和整改中的二次浪费现象。</w:t>
      </w:r>
    </w:p>
    <w:p w14:paraId="16650D6A">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2.高度重视。各单位党政负责人是办公用房整治工作的第一责任人，领导干部要充分发挥表率作用，做到自查自纠到位，整改措施到位，任务落实到位。</w:t>
      </w:r>
    </w:p>
    <w:p w14:paraId="01B9AF14">
      <w:pPr>
        <w:keepNext w:val="0"/>
        <w:keepLines w:val="0"/>
        <w:pageBreakBefore w:val="0"/>
        <w:widowControl/>
        <w:kinsoku/>
        <w:wordWrap/>
        <w:overflowPunct/>
        <w:topLinePunct w:val="0"/>
        <w:autoSpaceDE/>
        <w:autoSpaceDN/>
        <w:bidi w:val="0"/>
        <w:adjustRightInd/>
        <w:snapToGrid/>
        <w:spacing w:after="0" w:line="620" w:lineRule="exact"/>
        <w:ind w:firstLine="640" w:firstLineChars="200"/>
        <w:jc w:val="both"/>
        <w:textAlignment w:val="auto"/>
        <w:rPr>
          <w:rFonts w:hint="eastAsia" w:ascii="仿宋" w:hAnsi="仿宋" w:eastAsia="仿宋" w:cs="仿宋"/>
          <w:spacing w:val="-6"/>
          <w:sz w:val="32"/>
          <w:szCs w:val="32"/>
          <w:lang w:eastAsia="zh-CN"/>
        </w:rPr>
      </w:pPr>
      <w:r>
        <w:rPr>
          <w:rFonts w:hint="eastAsia" w:ascii="仿宋" w:hAnsi="仿宋" w:eastAsia="仿宋" w:cs="仿宋"/>
          <w:b w:val="0"/>
          <w:bCs/>
          <w:sz w:val="32"/>
          <w:szCs w:val="32"/>
          <w:lang w:val="en-US" w:eastAsia="zh-CN"/>
        </w:rPr>
        <w:t>3.强化问责。对组织实施不力、敷衍塞责、弄虚作假问题突出的单位，学校纪委将严肃追究问责。</w:t>
      </w:r>
    </w:p>
    <w:p w14:paraId="12206233">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028BCF98">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3835557D">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 w:hAnsi="仿宋" w:eastAsia="仿宋" w:cs="仿宋"/>
          <w:spacing w:val="-6"/>
          <w:sz w:val="32"/>
          <w:szCs w:val="32"/>
          <w:lang w:eastAsia="zh-CN"/>
        </w:rPr>
      </w:pPr>
    </w:p>
    <w:p w14:paraId="017966A6">
      <w:pPr>
        <w:keepNext w:val="0"/>
        <w:keepLines w:val="0"/>
        <w:pageBreakBefore w:val="0"/>
        <w:widowControl/>
        <w:kinsoku/>
        <w:wordWrap/>
        <w:overflowPunct/>
        <w:topLinePunct w:val="0"/>
        <w:autoSpaceDE/>
        <w:autoSpaceDN/>
        <w:bidi w:val="0"/>
        <w:adjustRightInd/>
        <w:snapToGrid/>
        <w:spacing w:after="0" w:line="620" w:lineRule="exact"/>
        <w:jc w:val="center"/>
        <w:textAlignment w:val="auto"/>
        <w:rPr>
          <w:rFonts w:hint="eastAsia" w:ascii="仿宋" w:hAnsi="仿宋" w:eastAsia="仿宋" w:cs="仿宋"/>
          <w:b w:val="0"/>
          <w:bCs/>
          <w:sz w:val="32"/>
          <w:szCs w:val="32"/>
          <w:lang w:val="en-US" w:eastAsia="zh-CN"/>
        </w:rPr>
      </w:pPr>
      <w:r>
        <w:rPr>
          <w:rFonts w:hint="eastAsia" w:ascii="仿宋" w:hAnsi="仿宋" w:eastAsia="仿宋" w:cs="仿宋"/>
          <w:sz w:val="32"/>
          <w:szCs w:val="32"/>
          <w:lang w:val="en-US" w:eastAsia="zh-CN"/>
        </w:rPr>
        <w:t xml:space="preserve">                         </w:t>
      </w:r>
      <w:r>
        <w:rPr>
          <w:rFonts w:hint="eastAsia" w:ascii="仿宋" w:hAnsi="仿宋" w:eastAsia="仿宋" w:cs="仿宋"/>
          <w:b w:val="0"/>
          <w:bCs/>
          <w:sz w:val="32"/>
          <w:szCs w:val="32"/>
          <w:lang w:val="en-US" w:eastAsia="zh-CN"/>
        </w:rPr>
        <w:t xml:space="preserve">  2025年6月10日</w:t>
      </w:r>
    </w:p>
    <w:p w14:paraId="6F5A94CD">
      <w:pPr>
        <w:keepNext w:val="0"/>
        <w:keepLines w:val="0"/>
        <w:pageBreakBefore w:val="0"/>
        <w:widowControl/>
        <w:kinsoku/>
        <w:wordWrap/>
        <w:overflowPunct/>
        <w:topLinePunct w:val="0"/>
        <w:autoSpaceDE/>
        <w:autoSpaceDN/>
        <w:bidi w:val="0"/>
        <w:adjustRightInd/>
        <w:snapToGrid/>
        <w:spacing w:after="0" w:line="620" w:lineRule="exact"/>
        <w:jc w:val="center"/>
        <w:textAlignment w:val="auto"/>
        <w:rPr>
          <w:rFonts w:hint="eastAsia" w:ascii="仿宋_GB2312" w:hAnsi="仿宋_GB2312" w:eastAsia="仿宋_GB2312" w:cs="仿宋_GB2312"/>
          <w:b w:val="0"/>
          <w:bCs w:val="0"/>
          <w:color w:val="auto"/>
          <w:sz w:val="32"/>
          <w:szCs w:val="32"/>
          <w:lang w:val="en-US" w:eastAsia="zh-CN"/>
        </w:rPr>
      </w:pPr>
    </w:p>
    <w:p w14:paraId="5F3A3A1A">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_GB2312" w:hAnsi="仿宋_GB2312" w:eastAsia="仿宋_GB2312" w:cs="仿宋_GB2312"/>
          <w:b w:val="0"/>
          <w:bCs w:val="0"/>
          <w:color w:val="auto"/>
          <w:sz w:val="32"/>
          <w:szCs w:val="32"/>
          <w:lang w:val="en-US" w:eastAsia="zh-CN"/>
        </w:rPr>
      </w:pPr>
    </w:p>
    <w:p w14:paraId="2CC80564">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_GB2312" w:hAnsi="仿宋_GB2312" w:eastAsia="仿宋_GB2312" w:cs="仿宋_GB2312"/>
          <w:b w:val="0"/>
          <w:bCs w:val="0"/>
          <w:color w:val="auto"/>
          <w:sz w:val="32"/>
          <w:szCs w:val="32"/>
          <w:lang w:val="en-US" w:eastAsia="zh-CN"/>
        </w:rPr>
      </w:pPr>
    </w:p>
    <w:p w14:paraId="3A5BFB11">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_GB2312" w:hAnsi="仿宋_GB2312" w:eastAsia="仿宋_GB2312" w:cs="仿宋_GB2312"/>
          <w:b w:val="0"/>
          <w:bCs w:val="0"/>
          <w:color w:val="auto"/>
          <w:sz w:val="32"/>
          <w:szCs w:val="32"/>
          <w:lang w:val="en-US" w:eastAsia="zh-CN"/>
        </w:rPr>
      </w:pPr>
    </w:p>
    <w:p w14:paraId="499C1761">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_GB2312" w:hAnsi="仿宋_GB2312" w:eastAsia="仿宋_GB2312" w:cs="仿宋_GB2312"/>
          <w:b w:val="0"/>
          <w:bCs w:val="0"/>
          <w:color w:val="auto"/>
          <w:sz w:val="32"/>
          <w:szCs w:val="32"/>
          <w:lang w:val="en-US" w:eastAsia="zh-CN"/>
        </w:rPr>
      </w:pPr>
    </w:p>
    <w:p w14:paraId="655333CA">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_GB2312" w:hAnsi="仿宋_GB2312" w:eastAsia="仿宋_GB2312" w:cs="仿宋_GB2312"/>
          <w:b w:val="0"/>
          <w:bCs w:val="0"/>
          <w:color w:val="auto"/>
          <w:sz w:val="32"/>
          <w:szCs w:val="32"/>
          <w:lang w:val="en-US" w:eastAsia="zh-CN"/>
        </w:rPr>
      </w:pPr>
    </w:p>
    <w:p w14:paraId="7E7F6E33">
      <w:pPr>
        <w:keepNext w:val="0"/>
        <w:keepLines w:val="0"/>
        <w:pageBreakBefore w:val="0"/>
        <w:widowControl/>
        <w:kinsoku/>
        <w:wordWrap/>
        <w:overflowPunct/>
        <w:topLinePunct w:val="0"/>
        <w:autoSpaceDE/>
        <w:autoSpaceDN/>
        <w:bidi w:val="0"/>
        <w:adjustRightInd/>
        <w:snapToGrid/>
        <w:spacing w:after="469" w:afterLines="150" w:line="620" w:lineRule="exact"/>
        <w:jc w:val="both"/>
        <w:textAlignment w:val="auto"/>
        <w:rPr>
          <w:rFonts w:hint="eastAsia" w:ascii="仿宋_GB2312" w:hAnsi="仿宋_GB2312" w:eastAsia="仿宋_GB2312" w:cs="仿宋_GB2312"/>
          <w:b w:val="0"/>
          <w:bCs w:val="0"/>
          <w:color w:val="auto"/>
          <w:sz w:val="32"/>
          <w:szCs w:val="32"/>
          <w:lang w:val="en-US" w:eastAsia="zh-CN"/>
        </w:rPr>
      </w:pPr>
    </w:p>
    <w:p w14:paraId="5DEFEA7F">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_GB2312" w:hAnsi="仿宋_GB2312" w:eastAsia="仿宋_GB2312" w:cs="仿宋_GB2312"/>
          <w:b w:val="0"/>
          <w:bCs w:val="0"/>
          <w:color w:val="auto"/>
          <w:sz w:val="32"/>
          <w:szCs w:val="32"/>
          <w:lang w:val="en-US" w:eastAsia="zh-CN"/>
        </w:rPr>
      </w:pPr>
    </w:p>
    <w:p w14:paraId="7CC6F355">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10</w:t>
      </w:r>
      <w:r>
        <w:rPr>
          <w:rFonts w:hint="eastAsia" w:ascii="仿宋" w:hAnsi="仿宋" w:eastAsia="仿宋" w:cs="仿宋"/>
          <w:sz w:val="28"/>
          <w:szCs w:val="28"/>
        </w:rPr>
        <w:t xml:space="preserve">日印发 </w:t>
      </w:r>
    </w:p>
    <w:p w14:paraId="5B51A6DB"/>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4434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1DE10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31DE10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4654AC"/>
    <w:rsid w:val="28CA52F9"/>
    <w:rsid w:val="41F90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1665</Words>
  <Characters>1716</Characters>
  <Lines>0</Lines>
  <Paragraphs>0</Paragraphs>
  <TotalTime>1</TotalTime>
  <ScaleCrop>false</ScaleCrop>
  <LinksUpToDate>false</LinksUpToDate>
  <CharactersWithSpaces>1756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2025-06-12T09:40:00Z</dcterms:created>
  <dc:creator>Administrator</dc:creator>
  <cp:lastModifiedBy>aa</cp:lastModifiedBy>
  <dcterms:modified xsi:type="dcterms:W3CDTF">2025-06-12T09:43:47Z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eyJoZGlkIjoiOGY4ODMwOWI2ZDE2OWVjY2Y4YWZhZDdhYzI3MTc2NzUifQ==</vt:lpwstr>
  </property>
  <property fmtid="{D5CDD505-2E9C-101B-9397-08002B2CF9AE}" pid="4" name="ICV">
    <vt:lpwstr>1BF54EF6612C410895404F32FDD2EC3E_13</vt:lpwstr>
  </property>
</Properties>
</file>