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8D0C">
      <w:pPr>
        <w:jc w:val="center"/>
        <w:rPr>
          <w:rFonts w:hint="default" w:eastAsia="宋体"/>
          <w:b/>
          <w:color w:val="FF0000"/>
          <w:sz w:val="44"/>
          <w:szCs w:val="44"/>
          <w:lang w:val="en-US" w:eastAsia="zh-CN"/>
        </w:rPr>
      </w:pPr>
    </w:p>
    <w:p w14:paraId="20CC3A7B">
      <w:pPr>
        <w:jc w:val="center"/>
        <w:rPr>
          <w:rFonts w:hint="default" w:eastAsia="宋体"/>
          <w:b/>
          <w:color w:val="FF0000"/>
          <w:sz w:val="44"/>
          <w:szCs w:val="44"/>
          <w:lang w:val="en-US" w:eastAsia="zh-CN"/>
        </w:rPr>
      </w:pPr>
    </w:p>
    <w:p w14:paraId="21243BAD">
      <w:pPr>
        <w:jc w:val="center"/>
        <w:rPr>
          <w:rFonts w:hint="default" w:eastAsia="宋体"/>
          <w:b/>
          <w:color w:val="FF0000"/>
          <w:sz w:val="44"/>
          <w:szCs w:val="44"/>
          <w:lang w:val="en-US" w:eastAsia="zh-CN"/>
        </w:rPr>
      </w:pPr>
    </w:p>
    <w:p w14:paraId="4298BAE8">
      <w:pPr>
        <w:jc w:val="center"/>
        <w:rPr>
          <w:rFonts w:hint="default" w:eastAsia="宋体"/>
          <w:b/>
          <w:color w:val="FF0000"/>
          <w:sz w:val="44"/>
          <w:szCs w:val="44"/>
          <w:lang w:val="en-US" w:eastAsia="zh-CN"/>
        </w:rPr>
      </w:pPr>
    </w:p>
    <w:p w14:paraId="4B86054F">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3B5DA7C1">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1EE1992A">
      <w:pPr>
        <w:ind w:firstLine="270" w:firstLineChars="100"/>
        <w:jc w:val="both"/>
        <w:rPr>
          <w:rFonts w:hint="eastAsia" w:ascii="宋体" w:hAnsi="宋体"/>
          <w:color w:val="000000"/>
          <w:sz w:val="27"/>
          <w:szCs w:val="27"/>
        </w:rPr>
      </w:pPr>
    </w:p>
    <w:p w14:paraId="225A48FE">
      <w:pPr>
        <w:jc w:val="center"/>
        <w:rPr>
          <w:rFonts w:hint="default" w:ascii="宋体" w:hAnsi="宋体"/>
          <w:szCs w:val="21"/>
          <w:lang w:val="en-US"/>
        </w:rPr>
      </w:pPr>
      <w:bookmarkStart w:id="1"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50</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1"/>
    <w:p w14:paraId="4B380B18">
      <w:pPr>
        <w:jc w:val="center"/>
        <w:rPr>
          <w:rFonts w:hint="eastAsia"/>
          <w:szCs w:val="21"/>
        </w:rPr>
      </w:pPr>
    </w:p>
    <w:p w14:paraId="16F17444">
      <w:pPr>
        <w:jc w:val="center"/>
        <w:rPr>
          <w:rFonts w:hint="eastAsia" w:eastAsia="宋体"/>
          <w:szCs w:val="21"/>
          <w:lang w:val="en-US" w:eastAsia="zh-CN"/>
        </w:rPr>
      </w:pPr>
      <w:r>
        <w:rPr>
          <w:rFonts w:hint="eastAsia"/>
          <w:szCs w:val="21"/>
          <w:lang w:val="en-US" w:eastAsia="zh-CN"/>
        </w:rPr>
        <w:t xml:space="preserve"> </w:t>
      </w:r>
    </w:p>
    <w:p w14:paraId="0C83CE3B">
      <w:pPr>
        <w:rPr>
          <w:rFonts w:hint="eastAsia"/>
          <w:szCs w:val="21"/>
        </w:rPr>
      </w:pPr>
    </w:p>
    <w:p w14:paraId="1BB026BC">
      <w:pPr>
        <w:jc w:val="center"/>
        <w:rPr>
          <w:rFonts w:hint="eastAsia" w:ascii="宋体" w:hAnsi="宋体" w:eastAsia="宋体" w:cs="宋体"/>
          <w:b/>
          <w:bCs w:val="0"/>
          <w:spacing w:val="0"/>
          <w:sz w:val="44"/>
          <w:szCs w:val="44"/>
          <w:lang w:val="en-US" w:eastAsia="zh-CN"/>
        </w:rPr>
      </w:pPr>
      <w:r>
        <w:rPr>
          <w:rFonts w:hint="eastAsia" w:ascii="宋体" w:hAnsi="宋体" w:eastAsia="宋体" w:cs="宋体"/>
          <w:b/>
          <w:bCs w:val="0"/>
          <w:spacing w:val="0"/>
          <w:sz w:val="44"/>
          <w:szCs w:val="44"/>
          <w:lang w:val="en-US" w:eastAsia="zh-CN"/>
        </w:rPr>
        <w:t>关于公布废止部分规范性文件和由暂行或试行转为正式执行的规范性文件的通知</w:t>
      </w:r>
    </w:p>
    <w:p w14:paraId="0A9FC071">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19801F6D">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 w:hAnsi="仿宋" w:eastAsia="仿宋" w:cs="仿宋"/>
          <w:sz w:val="32"/>
          <w:szCs w:val="32"/>
          <w:lang w:val="en-US" w:eastAsia="zh-CN"/>
        </w:rPr>
      </w:pPr>
      <w:bookmarkStart w:id="0" w:name="OLE_LINK7"/>
      <w:r>
        <w:rPr>
          <w:rFonts w:hint="eastAsia" w:ascii="仿宋" w:hAnsi="仿宋" w:eastAsia="仿宋" w:cs="仿宋"/>
          <w:sz w:val="32"/>
          <w:szCs w:val="32"/>
          <w:lang w:val="en-US" w:eastAsia="zh-CN"/>
        </w:rPr>
        <w:t>全校各</w:t>
      </w:r>
      <w:bookmarkEnd w:id="0"/>
      <w:r>
        <w:rPr>
          <w:rFonts w:hint="eastAsia" w:ascii="仿宋" w:hAnsi="仿宋" w:eastAsia="仿宋" w:cs="仿宋"/>
          <w:sz w:val="32"/>
          <w:szCs w:val="32"/>
          <w:lang w:val="en-US" w:eastAsia="zh-CN"/>
        </w:rPr>
        <w:t>单位：</w:t>
      </w:r>
    </w:p>
    <w:p w14:paraId="785923AF">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lang w:val="en-US" w:eastAsia="zh-CN"/>
        </w:rPr>
      </w:pPr>
      <w:r>
        <w:rPr>
          <w:rFonts w:hint="eastAsia" w:ascii="仿宋" w:hAnsi="仿宋" w:eastAsia="仿宋"/>
          <w:sz w:val="32"/>
          <w:szCs w:val="32"/>
        </w:rPr>
        <w:t>为进一步夯实依法治校的制度基础，完善学校内部治理体系，全面提</w:t>
      </w:r>
      <w:r>
        <w:rPr>
          <w:rFonts w:hint="eastAsia" w:ascii="仿宋" w:hAnsi="仿宋" w:eastAsia="仿宋"/>
          <w:sz w:val="32"/>
          <w:szCs w:val="32"/>
          <w:lang w:val="en-US" w:eastAsia="zh-CN"/>
        </w:rPr>
        <w:t>升</w:t>
      </w:r>
      <w:r>
        <w:rPr>
          <w:rFonts w:hint="eastAsia" w:ascii="仿宋" w:hAnsi="仿宋" w:eastAsia="仿宋"/>
          <w:sz w:val="32"/>
          <w:szCs w:val="32"/>
        </w:rPr>
        <w:t>治理能力，</w:t>
      </w:r>
      <w:r>
        <w:rPr>
          <w:rFonts w:hint="eastAsia" w:ascii="仿宋" w:hAnsi="仿宋" w:eastAsia="仿宋"/>
          <w:sz w:val="32"/>
          <w:szCs w:val="32"/>
          <w:lang w:val="en-US" w:eastAsia="zh-CN"/>
        </w:rPr>
        <w:t>学校</w:t>
      </w:r>
      <w:r>
        <w:rPr>
          <w:rFonts w:hint="eastAsia" w:ascii="仿宋" w:hAnsi="仿宋" w:eastAsia="仿宋"/>
          <w:sz w:val="32"/>
          <w:szCs w:val="32"/>
        </w:rPr>
        <w:t>对</w:t>
      </w:r>
      <w:r>
        <w:rPr>
          <w:rFonts w:hint="eastAsia" w:ascii="仿宋" w:hAnsi="仿宋" w:eastAsia="仿宋"/>
          <w:sz w:val="32"/>
          <w:szCs w:val="32"/>
          <w:lang w:val="en-US" w:eastAsia="zh-CN"/>
        </w:rPr>
        <w:t>现行有效的</w:t>
      </w:r>
      <w:r>
        <w:rPr>
          <w:rFonts w:hint="eastAsia" w:ascii="仿宋" w:hAnsi="仿宋" w:eastAsia="仿宋"/>
          <w:sz w:val="32"/>
          <w:szCs w:val="32"/>
        </w:rPr>
        <w:t>规章制度</w:t>
      </w:r>
      <w:r>
        <w:rPr>
          <w:rFonts w:hint="eastAsia" w:ascii="仿宋" w:hAnsi="仿宋" w:eastAsia="仿宋"/>
          <w:sz w:val="32"/>
          <w:szCs w:val="32"/>
          <w:lang w:val="en-US" w:eastAsia="zh-CN"/>
        </w:rPr>
        <w:t>等</w:t>
      </w:r>
      <w:r>
        <w:rPr>
          <w:rFonts w:hint="eastAsia" w:ascii="仿宋" w:hAnsi="仿宋" w:eastAsia="仿宋"/>
          <w:sz w:val="32"/>
          <w:szCs w:val="32"/>
        </w:rPr>
        <w:t>规范性文件进行</w:t>
      </w:r>
      <w:r>
        <w:rPr>
          <w:rFonts w:hint="eastAsia" w:ascii="仿宋" w:hAnsi="仿宋" w:eastAsia="仿宋"/>
          <w:sz w:val="32"/>
          <w:szCs w:val="32"/>
          <w:lang w:eastAsia="zh-CN"/>
        </w:rPr>
        <w:t>了</w:t>
      </w:r>
      <w:r>
        <w:rPr>
          <w:rFonts w:hint="eastAsia" w:ascii="仿宋" w:hAnsi="仿宋" w:eastAsia="仿宋"/>
          <w:sz w:val="32"/>
          <w:szCs w:val="32"/>
          <w:lang w:val="en-US" w:eastAsia="zh-CN"/>
        </w:rPr>
        <w:t>集</w:t>
      </w:r>
      <w:r>
        <w:rPr>
          <w:rFonts w:hint="eastAsia" w:ascii="仿宋" w:hAnsi="仿宋" w:eastAsia="仿宋" w:cs="仿宋"/>
          <w:sz w:val="32"/>
          <w:szCs w:val="32"/>
          <w:lang w:val="en-US" w:eastAsia="zh-CN"/>
        </w:rPr>
        <w:t>中清理。</w:t>
      </w:r>
      <w:r>
        <w:rPr>
          <w:rFonts w:hint="default" w:ascii="仿宋" w:hAnsi="仿宋" w:eastAsia="仿宋" w:cs="仿宋"/>
          <w:sz w:val="32"/>
          <w:szCs w:val="32"/>
          <w:lang w:val="en-US" w:eastAsia="zh-CN"/>
        </w:rPr>
        <w:t>经校党委</w:t>
      </w:r>
      <w:r>
        <w:rPr>
          <w:rFonts w:hint="eastAsia" w:ascii="仿宋" w:hAnsi="仿宋" w:eastAsia="仿宋" w:cs="仿宋"/>
          <w:sz w:val="32"/>
          <w:szCs w:val="32"/>
          <w:lang w:val="en-US" w:eastAsia="zh-CN"/>
        </w:rPr>
        <w:t>常委会</w:t>
      </w:r>
      <w:r>
        <w:rPr>
          <w:rFonts w:hint="default" w:ascii="仿宋" w:hAnsi="仿宋" w:eastAsia="仿宋" w:cs="仿宋"/>
          <w:sz w:val="32"/>
          <w:szCs w:val="32"/>
          <w:lang w:val="en-US" w:eastAsia="zh-CN"/>
        </w:rPr>
        <w:t>审议通过，决定废止</w:t>
      </w:r>
      <w:r>
        <w:rPr>
          <w:rFonts w:hint="eastAsia" w:ascii="仿宋" w:hAnsi="仿宋" w:eastAsia="仿宋" w:cs="仿宋"/>
          <w:sz w:val="32"/>
          <w:szCs w:val="32"/>
          <w:lang w:val="en-US" w:eastAsia="zh-CN"/>
        </w:rPr>
        <w:t>规范性文件219份，由暂行或试行转为正式执行的规范性文件47份,转为正式执行的日期为2025年9月2日，原发文文号不变。</w:t>
      </w:r>
      <w:r>
        <w:rPr>
          <w:rFonts w:hint="default" w:ascii="仿宋" w:hAnsi="仿宋" w:eastAsia="仿宋" w:cs="仿宋"/>
          <w:sz w:val="32"/>
          <w:szCs w:val="32"/>
          <w:lang w:val="en-US" w:eastAsia="zh-CN"/>
        </w:rPr>
        <w:t>现将</w:t>
      </w:r>
      <w:r>
        <w:rPr>
          <w:rFonts w:hint="eastAsia" w:ascii="仿宋" w:hAnsi="仿宋" w:eastAsia="仿宋" w:cs="仿宋"/>
          <w:sz w:val="32"/>
          <w:szCs w:val="32"/>
          <w:lang w:val="en-US" w:eastAsia="zh-CN"/>
        </w:rPr>
        <w:t>上述规范性文件</w:t>
      </w:r>
      <w:r>
        <w:rPr>
          <w:rFonts w:hint="default" w:ascii="仿宋" w:hAnsi="仿宋" w:eastAsia="仿宋" w:cs="仿宋"/>
          <w:sz w:val="32"/>
          <w:szCs w:val="32"/>
          <w:lang w:val="en-US" w:eastAsia="zh-CN"/>
        </w:rPr>
        <w:t>目录予以公布。</w:t>
      </w:r>
    </w:p>
    <w:p w14:paraId="40314F27">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特此通知。</w:t>
      </w:r>
    </w:p>
    <w:p w14:paraId="048AF7B5">
      <w:pPr>
        <w:ind w:firstLine="640" w:firstLineChars="200"/>
        <w:rPr>
          <w:rFonts w:hint="default" w:ascii="仿宋" w:hAnsi="仿宋" w:eastAsia="仿宋" w:cs="仿宋"/>
          <w:sz w:val="32"/>
          <w:szCs w:val="32"/>
          <w:lang w:val="en-US" w:eastAsia="zh-CN"/>
        </w:rPr>
      </w:pPr>
    </w:p>
    <w:p w14:paraId="1549831A">
      <w:pPr>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w:t>
      </w:r>
      <w:r>
        <w:rPr>
          <w:rFonts w:hint="default" w:ascii="仿宋" w:hAnsi="仿宋" w:eastAsia="仿宋" w:cs="仿宋"/>
          <w:sz w:val="32"/>
          <w:szCs w:val="32"/>
          <w:lang w:val="en-US" w:eastAsia="zh-CN"/>
        </w:rPr>
        <w:t>决定废止的</w:t>
      </w:r>
      <w:r>
        <w:rPr>
          <w:rFonts w:hint="eastAsia" w:ascii="仿宋" w:hAnsi="仿宋" w:eastAsia="仿宋" w:cs="仿宋"/>
          <w:sz w:val="32"/>
          <w:szCs w:val="32"/>
          <w:lang w:val="en-US" w:eastAsia="zh-CN"/>
        </w:rPr>
        <w:t>规范性文件</w:t>
      </w:r>
      <w:r>
        <w:rPr>
          <w:rFonts w:hint="default" w:ascii="仿宋" w:hAnsi="仿宋" w:eastAsia="仿宋" w:cs="仿宋"/>
          <w:sz w:val="32"/>
          <w:szCs w:val="32"/>
          <w:lang w:val="en-US" w:eastAsia="zh-CN"/>
        </w:rPr>
        <w:t>目录</w:t>
      </w:r>
    </w:p>
    <w:p w14:paraId="1A127E61">
      <w:pPr>
        <w:keepNext w:val="0"/>
        <w:keepLines w:val="0"/>
        <w:pageBreakBefore w:val="0"/>
        <w:widowControl/>
        <w:kinsoku/>
        <w:wordWrap/>
        <w:overflowPunct/>
        <w:topLinePunct w:val="0"/>
        <w:autoSpaceDE/>
        <w:autoSpaceDN/>
        <w:bidi w:val="0"/>
        <w:adjustRightInd/>
        <w:snapToGrid/>
        <w:spacing w:after="0" w:line="560" w:lineRule="exact"/>
        <w:ind w:left="1916" w:leftChars="760" w:hanging="320" w:hangingChars="1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2.河北建筑工程学院</w:t>
      </w:r>
      <w:r>
        <w:rPr>
          <w:rFonts w:hint="default" w:ascii="仿宋" w:hAnsi="仿宋" w:eastAsia="仿宋" w:cs="仿宋"/>
          <w:sz w:val="32"/>
          <w:szCs w:val="32"/>
          <w:lang w:val="en-US" w:eastAsia="zh-CN"/>
        </w:rPr>
        <w:t>由暂行或试行转为正式执行</w:t>
      </w:r>
      <w:r>
        <w:rPr>
          <w:rFonts w:hint="eastAsia" w:ascii="仿宋" w:hAnsi="仿宋" w:eastAsia="仿宋" w:cs="仿宋"/>
          <w:sz w:val="32"/>
          <w:szCs w:val="32"/>
          <w:lang w:val="en-US" w:eastAsia="zh-CN"/>
        </w:rPr>
        <w:t>的规范性文件</w:t>
      </w:r>
      <w:r>
        <w:rPr>
          <w:rFonts w:hint="default" w:ascii="仿宋" w:hAnsi="仿宋" w:eastAsia="仿宋" w:cs="仿宋"/>
          <w:sz w:val="32"/>
          <w:szCs w:val="32"/>
          <w:lang w:val="en-US" w:eastAsia="zh-CN"/>
        </w:rPr>
        <w:t>目录</w:t>
      </w:r>
    </w:p>
    <w:p w14:paraId="7AF2959B">
      <w:pPr>
        <w:keepNext w:val="0"/>
        <w:keepLines w:val="0"/>
        <w:pageBreakBefore w:val="0"/>
        <w:widowControl w:val="0"/>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 w:hAnsi="仿宋" w:eastAsia="仿宋" w:cs="仿宋"/>
          <w:sz w:val="32"/>
          <w:szCs w:val="32"/>
          <w:lang w:eastAsia="zh-CN"/>
        </w:rPr>
      </w:pPr>
    </w:p>
    <w:p w14:paraId="45030354">
      <w:pPr>
        <w:keepNext w:val="0"/>
        <w:keepLines w:val="0"/>
        <w:pageBreakBefore w:val="0"/>
        <w:widowControl w:val="0"/>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 w:hAnsi="仿宋" w:eastAsia="仿宋" w:cs="仿宋"/>
          <w:sz w:val="32"/>
          <w:szCs w:val="32"/>
          <w:lang w:eastAsia="zh-CN"/>
        </w:rPr>
      </w:pPr>
    </w:p>
    <w:p w14:paraId="02276F78">
      <w:pPr>
        <w:keepNext w:val="0"/>
        <w:keepLines w:val="0"/>
        <w:pageBreakBefore w:val="0"/>
        <w:widowControl w:val="0"/>
        <w:kinsoku/>
        <w:wordWrap/>
        <w:overflowPunct/>
        <w:topLinePunct w:val="0"/>
        <w:autoSpaceDE/>
        <w:autoSpaceDN/>
        <w:bidi w:val="0"/>
        <w:adjustRightInd/>
        <w:snapToGrid/>
        <w:spacing w:line="600" w:lineRule="exact"/>
        <w:ind w:right="0" w:rightChars="0" w:firstLine="640" w:firstLineChars="200"/>
        <w:jc w:val="both"/>
        <w:textAlignment w:val="auto"/>
        <w:outlineLvl w:val="9"/>
        <w:rPr>
          <w:rFonts w:hint="eastAsia" w:ascii="仿宋" w:hAnsi="仿宋" w:eastAsia="仿宋" w:cs="仿宋"/>
          <w:sz w:val="32"/>
          <w:szCs w:val="32"/>
          <w:lang w:eastAsia="zh-CN"/>
        </w:rPr>
      </w:pPr>
    </w:p>
    <w:p w14:paraId="72436ECD">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 xml:space="preserve">                                </w:t>
      </w:r>
      <w:r>
        <w:rPr>
          <w:rFonts w:hint="eastAsia" w:ascii="仿宋" w:hAnsi="仿宋" w:eastAsia="仿宋" w:cs="仿宋"/>
          <w:sz w:val="32"/>
          <w:szCs w:val="32"/>
        </w:rPr>
        <w:t>2025年</w:t>
      </w:r>
      <w:r>
        <w:rPr>
          <w:rFonts w:hint="eastAsia" w:ascii="仿宋" w:hAnsi="仿宋" w:eastAsia="仿宋" w:cs="仿宋"/>
          <w:sz w:val="32"/>
          <w:szCs w:val="32"/>
          <w:lang w:val="en-US" w:eastAsia="zh-CN"/>
        </w:rPr>
        <w:t>9</w:t>
      </w:r>
      <w:r>
        <w:rPr>
          <w:rFonts w:hint="eastAsia" w:ascii="仿宋" w:hAnsi="仿宋" w:eastAsia="仿宋" w:cs="仿宋"/>
          <w:sz w:val="32"/>
          <w:szCs w:val="32"/>
        </w:rPr>
        <w:t>月</w:t>
      </w:r>
      <w:r>
        <w:rPr>
          <w:rFonts w:hint="eastAsia" w:ascii="仿宋" w:hAnsi="仿宋" w:eastAsia="仿宋" w:cs="仿宋"/>
          <w:sz w:val="32"/>
          <w:szCs w:val="32"/>
          <w:lang w:val="en-US" w:eastAsia="zh-CN"/>
        </w:rPr>
        <w:t>2</w:t>
      </w:r>
      <w:r>
        <w:rPr>
          <w:rFonts w:hint="eastAsia" w:ascii="仿宋" w:hAnsi="仿宋" w:eastAsia="仿宋" w:cs="仿宋"/>
          <w:sz w:val="32"/>
          <w:szCs w:val="32"/>
        </w:rPr>
        <w:t>日</w:t>
      </w:r>
    </w:p>
    <w:p w14:paraId="316CB6A3">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p>
    <w:p w14:paraId="7022F268">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p>
    <w:p w14:paraId="730847F6">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p>
    <w:p w14:paraId="2D4B65B4">
      <w:pPr>
        <w:keepNext w:val="0"/>
        <w:keepLines w:val="0"/>
        <w:pageBreakBefore w:val="0"/>
        <w:widowControl w:val="0"/>
        <w:kinsoku/>
        <w:wordWrap w:val="0"/>
        <w:overflowPunct/>
        <w:topLinePunct w:val="0"/>
        <w:autoSpaceDE/>
        <w:autoSpaceDN/>
        <w:bidi w:val="0"/>
        <w:adjustRightInd/>
        <w:snapToGrid/>
        <w:spacing w:after="625" w:afterLines="200" w:line="620" w:lineRule="exact"/>
        <w:jc w:val="both"/>
        <w:textAlignment w:val="auto"/>
        <w:rPr>
          <w:rFonts w:hint="eastAsia" w:ascii="仿宋" w:hAnsi="仿宋" w:eastAsia="仿宋" w:cs="仿宋"/>
          <w:sz w:val="32"/>
          <w:szCs w:val="32"/>
        </w:rPr>
      </w:pPr>
    </w:p>
    <w:p w14:paraId="4E3761B5">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p>
    <w:p w14:paraId="37E82910">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p>
    <w:p w14:paraId="4175CAE3">
      <w:pPr>
        <w:keepNext w:val="0"/>
        <w:keepLines w:val="0"/>
        <w:pageBreakBefore w:val="0"/>
        <w:widowControl w:val="0"/>
        <w:kinsoku/>
        <w:wordWrap w:val="0"/>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rPr>
      </w:pPr>
    </w:p>
    <w:p w14:paraId="4D849FE0">
      <w:pPr>
        <w:keepNext w:val="0"/>
        <w:keepLines w:val="0"/>
        <w:pageBreakBefore w:val="0"/>
        <w:widowControl w:val="0"/>
        <w:kinsoku/>
        <w:wordWrap w:val="0"/>
        <w:overflowPunct/>
        <w:topLinePunct w:val="0"/>
        <w:autoSpaceDE/>
        <w:autoSpaceDN/>
        <w:bidi w:val="0"/>
        <w:adjustRightInd/>
        <w:snapToGrid/>
        <w:spacing w:after="625" w:afterLines="200" w:line="620" w:lineRule="exact"/>
        <w:jc w:val="both"/>
        <w:textAlignment w:val="auto"/>
        <w:rPr>
          <w:rFonts w:hint="eastAsia" w:ascii="仿宋" w:hAnsi="仿宋" w:eastAsia="仿宋" w:cs="仿宋"/>
          <w:sz w:val="32"/>
          <w:szCs w:val="32"/>
        </w:rPr>
      </w:pPr>
    </w:p>
    <w:p w14:paraId="041F2AD1">
      <w:pPr>
        <w:keepNext w:val="0"/>
        <w:keepLines w:val="0"/>
        <w:pageBreakBefore w:val="0"/>
        <w:widowControl w:val="0"/>
        <w:kinsoku/>
        <w:wordWrap w:val="0"/>
        <w:overflowPunct/>
        <w:topLinePunct w:val="0"/>
        <w:autoSpaceDE/>
        <w:autoSpaceDN/>
        <w:bidi w:val="0"/>
        <w:adjustRightInd/>
        <w:snapToGrid/>
        <w:spacing w:after="937" w:afterLines="300" w:line="620" w:lineRule="exact"/>
        <w:jc w:val="both"/>
        <w:textAlignment w:val="auto"/>
        <w:rPr>
          <w:rFonts w:hint="eastAsia" w:ascii="仿宋" w:hAnsi="仿宋" w:eastAsia="仿宋" w:cs="仿宋"/>
          <w:sz w:val="32"/>
          <w:szCs w:val="32"/>
          <w:lang w:val="en-US" w:eastAsia="zh-CN"/>
        </w:rPr>
      </w:pPr>
    </w:p>
    <w:p w14:paraId="1C61E755">
      <w:pPr>
        <w:pBdr>
          <w:top w:val="single" w:color="auto" w:sz="4" w:space="1"/>
          <w:bottom w:val="single" w:color="auto" w:sz="4" w:space="1"/>
        </w:pBdr>
        <w:spacing w:line="400" w:lineRule="exact"/>
        <w:ind w:firstLine="140" w:firstLineChars="50"/>
        <w:jc w:val="both"/>
        <w:rPr>
          <w:rFonts w:hint="eastAsia"/>
          <w:kern w:val="2"/>
          <w:sz w:val="21"/>
          <w:szCs w:val="24"/>
          <w:lang w:val="en-US" w:eastAsia="zh-CN" w:bidi="ar-SA"/>
        </w:rPr>
      </w:pPr>
      <w:r>
        <w:rPr>
          <w:rFonts w:hint="eastAsia" w:ascii="仿宋" w:hAnsi="仿宋" w:eastAsia="仿宋" w:cs="仿宋"/>
          <w:sz w:val="28"/>
          <w:szCs w:val="28"/>
        </w:rPr>
        <w:t>中共河北建筑工程学院委员会办公室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日印发</w:t>
      </w:r>
    </w:p>
    <w:p w14:paraId="10A4C60E"/>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3"/>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11003973"/>
    <w:rsid w:val="22D35FB3"/>
    <w:rsid w:val="240B1533"/>
    <w:rsid w:val="3CCE564F"/>
    <w:rsid w:val="45CD0190"/>
    <w:rsid w:val="51F62284"/>
    <w:rsid w:val="695E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6">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21"/>
    <w:basedOn w:val="9"/>
    <w:qFormat/>
    <w:uiPriority w:val="0"/>
    <w:rPr>
      <w:rFonts w:hint="default" w:ascii="Calibri" w:hAnsi="Calibri" w:cs="Calibri"/>
      <w:color w:val="000000"/>
      <w:sz w:val="22"/>
      <w:szCs w:val="22"/>
      <w:u w:val="none"/>
    </w:rPr>
  </w:style>
  <w:style w:type="character" w:customStyle="1" w:styleId="11">
    <w:name w:val="font01"/>
    <w:basedOn w:val="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84FDF34E5CEA45268AAAA3D0AD8E7AB5_13</vt:lpwstr>
  </property>
  <property fmtid="{D5CDD505-2E9C-101B-9397-08002B2CF9AE}" pid="4" name="KSOTemplateDocerSaveRecord">
    <vt:lpwstr>eyJoZGlkIjoiOGY4ODMwOWI2ZDE2OWVjY2Y4YWZhZDdhYzI3MTc2NzUiLCJ1c2VySWQiOiIxNjE0NzAwODUzIn0=</vt:lpwstr>
  </property>
</Properties>
</file>