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FDD25">
      <w:pPr>
        <w:jc w:val="both"/>
        <w:rPr>
          <w:rFonts w:hint="default" w:eastAsia="宋体"/>
          <w:b/>
          <w:color w:val="FF0000"/>
          <w:sz w:val="44"/>
          <w:szCs w:val="44"/>
          <w:lang w:val="en-US" w:eastAsia="zh-CN"/>
        </w:rPr>
      </w:pPr>
    </w:p>
    <w:p w14:paraId="3A5E03AB">
      <w:pPr>
        <w:jc w:val="both"/>
        <w:rPr>
          <w:rFonts w:hint="default" w:eastAsia="宋体"/>
          <w:b/>
          <w:color w:val="FF0000"/>
          <w:sz w:val="44"/>
          <w:szCs w:val="44"/>
          <w:lang w:val="en-US" w:eastAsia="zh-CN"/>
        </w:rPr>
      </w:pPr>
    </w:p>
    <w:p w14:paraId="69C62DCD">
      <w:pPr>
        <w:jc w:val="center"/>
        <w:rPr>
          <w:rFonts w:hint="eastAsia" w:ascii="宋体" w:hAnsi="宋体" w:eastAsia="宋体" w:cs="宋体"/>
          <w:b/>
          <w:bCs w:val="0"/>
          <w:color w:val="FF0000"/>
          <w:sz w:val="56"/>
          <w:szCs w:val="56"/>
          <w:lang w:val="en-US" w:eastAsia="zh-CN"/>
        </w:rPr>
      </w:pPr>
      <w:r>
        <w:rPr>
          <w:rFonts w:hint="eastAsia" w:ascii="宋体" w:hAnsi="宋体" w:eastAsia="宋体" w:cs="宋体"/>
          <w:b/>
          <w:bCs w:val="0"/>
          <w:color w:val="FF0000"/>
          <w:sz w:val="56"/>
          <w:szCs w:val="56"/>
          <w:lang w:val="en-US" w:eastAsia="zh-CN"/>
        </w:rPr>
        <w:t>河北建筑工程学院办公室文件</w:t>
      </w:r>
    </w:p>
    <w:p w14:paraId="57BC4873">
      <w:pPr>
        <w:jc w:val="center"/>
        <w:rPr>
          <w:rFonts w:hint="eastAsia" w:ascii="宋体" w:hAnsi="宋体" w:eastAsia="宋体" w:cs="宋体"/>
          <w:b/>
          <w:bCs w:val="0"/>
          <w:color w:val="FF0000"/>
          <w:sz w:val="56"/>
          <w:szCs w:val="56"/>
          <w:lang w:val="en-US" w:eastAsia="zh-CN"/>
        </w:rPr>
      </w:pPr>
    </w:p>
    <w:p w14:paraId="09E2E59F">
      <w:pPr>
        <w:jc w:val="center"/>
        <w:rPr>
          <w:rFonts w:hint="default" w:ascii="宋体" w:hAnsi="宋体"/>
          <w:color w:val="000000"/>
          <w:sz w:val="27"/>
          <w:szCs w:val="27"/>
          <w:lang w:val="en-US"/>
        </w:rPr>
      </w:pPr>
      <w:bookmarkStart w:id="0" w:name="_GoBack"/>
      <w:r>
        <w:rPr>
          <w:rFonts w:hint="eastAsia" w:ascii="仿宋" w:hAnsi="仿宋" w:eastAsia="仿宋" w:cs="仿宋"/>
          <w:color w:val="000000"/>
          <w:sz w:val="32"/>
          <w:szCs w:val="32"/>
          <w:lang w:eastAsia="zh-CN"/>
        </w:rPr>
        <w:t>校办</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25</w:t>
      </w:r>
      <w:r>
        <w:rPr>
          <w:rFonts w:hint="eastAsia" w:ascii="仿宋" w:hAnsi="仿宋" w:eastAsia="仿宋" w:cs="仿宋"/>
          <w:color w:val="000000"/>
          <w:sz w:val="32"/>
          <w:szCs w:val="32"/>
        </w:rPr>
        <w:t>号</w:t>
      </w:r>
    </w:p>
    <w:bookmarkEnd w:id="0"/>
    <w:p w14:paraId="0122CCC9">
      <w:pPr>
        <w:jc w:val="both"/>
        <w:rPr>
          <w:rFonts w:hint="eastAsia"/>
          <w:szCs w:val="21"/>
        </w:rPr>
      </w:pPr>
      <w:r>
        <w:rPr>
          <w:rFonts w:hint="eastAsia" w:ascii="宋体" w:hAnsi="宋体"/>
          <w:color w:val="000000"/>
          <w:sz w:val="27"/>
          <w:szCs w:val="27"/>
          <w:lang w:eastAsia="zh-CN"/>
        </w:rPr>
        <mc:AlternateContent>
          <mc:Choice Requires="wps">
            <w:drawing>
              <wp:anchor distT="0" distB="0" distL="114300" distR="114300" simplePos="0" relativeHeight="251659264" behindDoc="0" locked="0" layoutInCell="1" allowOverlap="1">
                <wp:simplePos x="0" y="0"/>
                <wp:positionH relativeFrom="page">
                  <wp:posOffset>1031240</wp:posOffset>
                </wp:positionH>
                <wp:positionV relativeFrom="margin">
                  <wp:posOffset>2461895</wp:posOffset>
                </wp:positionV>
                <wp:extent cx="5448300" cy="0"/>
                <wp:effectExtent l="0" t="10795" r="0" b="17780"/>
                <wp:wrapNone/>
                <wp:docPr id="1" name="直接箭头连接符 1"/>
                <wp:cNvGraphicFramePr/>
                <a:graphic xmlns:a="http://schemas.openxmlformats.org/drawingml/2006/main">
                  <a:graphicData uri="http://schemas.microsoft.com/office/word/2010/wordprocessingShape">
                    <wps:wsp>
                      <wps:cNvCnPr/>
                      <wps:spPr>
                        <a:xfrm>
                          <a:off x="0" y="0"/>
                          <a:ext cx="5448300" cy="0"/>
                        </a:xfrm>
                        <a:prstGeom prst="straightConnector1">
                          <a:avLst/>
                        </a:prstGeom>
                        <a:ln w="22225" cap="flat" cmpd="sng">
                          <a:solidFill>
                            <a:srgbClr val="FF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margin-left:81.2pt;margin-top:193.85pt;height:0pt;width:429pt;mso-position-horizontal-relative:page;mso-position-vertical-relative:margin;z-index:251659264;mso-width-relative:page;mso-height-relative:page;" filled="f" stroked="t" coordsize="21600,21600" o:gfxdata="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&#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n91TtgAAAAMAQAADwAAAAAAAAABACAAAAAiAAAAZHJz&#10;L2Rvd25yZXYueG1sUEsBAhQAFAAAAAgAh07iQI8j+UMEAgAA9wMAAA4AAAAAAAAAAQAgAAAAJwEA&#10;AGRycy9lMm9Eb2MueG1sUEsFBgAAAAAGAAYAWQEAAJ0FAAAAAA==&#10;">
                <v:path arrowok="t"/>
                <v:fill on="f" focussize="0,0"/>
                <v:stroke weight="1.75pt" color="#FF0000" joinstyle="round"/>
                <v:imagedata o:title=""/>
                <o:lock v:ext="edit" aspectratio="f"/>
              </v:shape>
            </w:pict>
          </mc:Fallback>
        </mc:AlternateContent>
      </w:r>
    </w:p>
    <w:p w14:paraId="50260388">
      <w:pPr>
        <w:jc w:val="center"/>
        <w:rPr>
          <w:rFonts w:hint="eastAsia" w:eastAsia="宋体"/>
          <w:szCs w:val="21"/>
          <w:lang w:val="en-US" w:eastAsia="zh-CN"/>
        </w:rPr>
      </w:pPr>
      <w:r>
        <w:rPr>
          <w:rFonts w:hint="eastAsia"/>
          <w:szCs w:val="21"/>
          <w:lang w:val="en-US" w:eastAsia="zh-CN"/>
        </w:rPr>
        <w:t xml:space="preserve"> </w:t>
      </w:r>
    </w:p>
    <w:p w14:paraId="0538D8D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rPr>
        <w:t>关于组织开展</w:t>
      </w:r>
      <w:r>
        <w:rPr>
          <w:rFonts w:hint="eastAsia" w:ascii="宋体" w:hAnsi="宋体" w:eastAsia="宋体" w:cs="宋体"/>
          <w:b/>
          <w:bCs/>
          <w:sz w:val="44"/>
          <w:szCs w:val="44"/>
          <w:lang w:val="en-US" w:eastAsia="zh-CN"/>
        </w:rPr>
        <w:t>河北建筑工程学院</w:t>
      </w:r>
    </w:p>
    <w:p w14:paraId="7B145A6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r>
        <w:rPr>
          <w:rFonts w:hint="eastAsia" w:ascii="宋体" w:hAnsi="宋体" w:eastAsia="宋体" w:cs="宋体"/>
          <w:b/>
          <w:bCs/>
          <w:sz w:val="44"/>
          <w:szCs w:val="44"/>
        </w:rPr>
        <w:t>2025年终学校安全隐患大排查大整治</w:t>
      </w:r>
    </w:p>
    <w:p w14:paraId="6E5AC9CF">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仿宋" w:hAnsi="仿宋" w:eastAsia="仿宋" w:cs="仿宋"/>
          <w:sz w:val="32"/>
          <w:szCs w:val="32"/>
        </w:rPr>
      </w:pPr>
      <w:r>
        <w:rPr>
          <w:rFonts w:hint="eastAsia" w:ascii="宋体" w:hAnsi="宋体" w:eastAsia="宋体" w:cs="宋体"/>
          <w:b/>
          <w:bCs/>
          <w:sz w:val="44"/>
          <w:szCs w:val="44"/>
        </w:rPr>
        <w:t>暨反诈工作的通知</w:t>
      </w:r>
    </w:p>
    <w:p w14:paraId="44225D6D">
      <w:pPr>
        <w:keepNext w:val="0"/>
        <w:keepLines w:val="0"/>
        <w:pageBreakBefore w:val="0"/>
        <w:widowControl w:val="0"/>
        <w:kinsoku/>
        <w:wordWrap/>
        <w:overflowPunct/>
        <w:topLinePunct w:val="0"/>
        <w:autoSpaceDE/>
        <w:autoSpaceDN/>
        <w:bidi w:val="0"/>
        <w:adjustRightInd/>
        <w:snapToGrid/>
        <w:spacing w:line="560" w:lineRule="exact"/>
        <w:ind w:right="0" w:rightChars="0"/>
        <w:jc w:val="both"/>
        <w:textAlignment w:val="auto"/>
        <w:outlineLvl w:val="9"/>
        <w:rPr>
          <w:rFonts w:hint="eastAsia" w:ascii="仿宋" w:hAnsi="仿宋" w:eastAsia="仿宋" w:cs="仿宋"/>
          <w:b w:val="0"/>
          <w:bCs w:val="0"/>
          <w:sz w:val="32"/>
          <w:szCs w:val="32"/>
          <w:lang w:val="en-US" w:eastAsia="zh-CN"/>
        </w:rPr>
      </w:pPr>
    </w:p>
    <w:p w14:paraId="1FA6C1A8">
      <w:pPr>
        <w:keepNext w:val="0"/>
        <w:keepLines w:val="0"/>
        <w:pageBreakBefore w:val="0"/>
        <w:widowControl w:val="0"/>
        <w:kinsoku/>
        <w:wordWrap/>
        <w:overflowPunct/>
        <w:topLinePunct w:val="0"/>
        <w:autoSpaceDE/>
        <w:autoSpaceDN/>
        <w:bidi w:val="0"/>
        <w:adjustRightInd/>
        <w:snapToGrid/>
        <w:spacing w:line="620" w:lineRule="exact"/>
        <w:ind w:right="0" w:rightChars="0"/>
        <w:jc w:val="both"/>
        <w:textAlignment w:val="auto"/>
        <w:outlineLvl w:val="9"/>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各部门、院系：</w:t>
      </w:r>
    </w:p>
    <w:p w14:paraId="7B0E84E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黑体" w:hAnsi="黑体" w:eastAsia="黑体" w:cs="黑体"/>
          <w:sz w:val="32"/>
          <w:szCs w:val="32"/>
        </w:rPr>
      </w:pPr>
      <w:r>
        <w:rPr>
          <w:rFonts w:hint="eastAsia" w:ascii="方正仿宋_GB2312" w:hAnsi="方正仿宋_GB2312" w:eastAsia="方正仿宋_GB2312" w:cs="方正仿宋_GB2312"/>
          <w:sz w:val="32"/>
          <w:szCs w:val="32"/>
          <w:lang w:val="en-US" w:eastAsia="zh-CN"/>
        </w:rPr>
        <w:t>为深刻吸取近期火灾、校园诈骗、校园机动车事故教训，举一反三，切实做好我校校园安全工作，根据《河北省教育厅关于开展全省大中专院校高层建筑重大火灾风险隐患排查整治工作的通知》《全省教育系统开展“反诈在冀一起来——打击治理电信网络诈骗宣防攻坚战”的通知》《河北省教育厅关于开展高校校园机动车安全隐患专项整治的通知》，</w:t>
      </w:r>
      <w:r>
        <w:rPr>
          <w:rFonts w:hint="eastAsia" w:ascii="方正仿宋_GB2312" w:hAnsi="方正仿宋_GB2312" w:eastAsia="方正仿宋_GB2312" w:cs="方正仿宋_GB2312"/>
          <w:spacing w:val="-6"/>
          <w:sz w:val="32"/>
          <w:szCs w:val="32"/>
          <w:lang w:val="en-US" w:eastAsia="zh-CN"/>
        </w:rPr>
        <w:t>结合我校日常安全检查情况，经研究，决定从即日起至12月21日开展2025年年终学校安全隐患大排查大整治工作暨反诈工作，现就有关事项通知如下：</w:t>
      </w:r>
    </w:p>
    <w:p w14:paraId="0ECCE0B4">
      <w:pPr>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黑体" w:hAnsi="黑体" w:eastAsia="黑体" w:cs="黑体"/>
          <w:sz w:val="32"/>
          <w:szCs w:val="32"/>
        </w:rPr>
      </w:pPr>
    </w:p>
    <w:p w14:paraId="2A3D0F26">
      <w:pPr>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一、</w:t>
      </w:r>
      <w:r>
        <w:rPr>
          <w:rFonts w:hint="eastAsia" w:ascii="黑体" w:hAnsi="黑体" w:eastAsia="黑体" w:cs="黑体"/>
          <w:sz w:val="32"/>
          <w:szCs w:val="32"/>
          <w:lang w:eastAsia="zh-CN"/>
        </w:rPr>
        <w:t>排查</w:t>
      </w:r>
      <w:r>
        <w:rPr>
          <w:rFonts w:hint="eastAsia" w:ascii="黑体" w:hAnsi="黑体" w:eastAsia="黑体" w:cs="黑体"/>
          <w:sz w:val="32"/>
          <w:szCs w:val="32"/>
        </w:rPr>
        <w:t>时间</w:t>
      </w:r>
    </w:p>
    <w:p w14:paraId="222E7A40">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即日起至2025年12月21日。</w:t>
      </w:r>
    </w:p>
    <w:p w14:paraId="189F43B2">
      <w:pPr>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二、</w:t>
      </w:r>
      <w:r>
        <w:rPr>
          <w:rFonts w:hint="eastAsia" w:ascii="黑体" w:hAnsi="黑体" w:eastAsia="黑体" w:cs="黑体"/>
          <w:sz w:val="32"/>
          <w:szCs w:val="32"/>
          <w:lang w:eastAsia="zh-CN"/>
        </w:rPr>
        <w:t>排查范围</w:t>
      </w:r>
    </w:p>
    <w:p w14:paraId="63927271">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朝阳校区、西操场、建国校区办公楼、林园路校区公产房及实习工厂。</w:t>
      </w:r>
    </w:p>
    <w:p w14:paraId="4717E960">
      <w:pPr>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三、</w:t>
      </w:r>
      <w:r>
        <w:rPr>
          <w:rFonts w:hint="eastAsia" w:ascii="黑体" w:hAnsi="黑体" w:eastAsia="黑体" w:cs="黑体"/>
          <w:sz w:val="32"/>
          <w:szCs w:val="32"/>
          <w:lang w:eastAsia="zh-CN"/>
        </w:rPr>
        <w:t>排查</w:t>
      </w:r>
      <w:r>
        <w:rPr>
          <w:rFonts w:hint="eastAsia" w:ascii="黑体" w:hAnsi="黑体" w:eastAsia="黑体" w:cs="黑体"/>
          <w:sz w:val="32"/>
          <w:szCs w:val="32"/>
        </w:rPr>
        <w:t>内容</w:t>
      </w:r>
    </w:p>
    <w:p w14:paraId="47B718BA">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紧紧围绕当前全省、全市、全校安全工作面临的形势和任务，结合学校和各部门、院系工作实际，对照《学校安全隐患大排查大整治暨反诈工作内容和责任分工》（见附件2），对校园电信网络诈骗、高层建筑重大火灾风险、学校机动车安全管理、食堂食品安全、实验室危险化学品安全、设施设备及周边安全、管制刀具等危险品等方面进行全面排查。</w:t>
      </w:r>
    </w:p>
    <w:p w14:paraId="272C4571">
      <w:pPr>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四、工作步骤</w:t>
      </w:r>
    </w:p>
    <w:p w14:paraId="411230B4">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安全隐患排查整治工作采取部门、院系自查、学校联查的方式进行。</w:t>
      </w:r>
    </w:p>
    <w:p w14:paraId="3375A7EF">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楷体" w:hAnsi="楷体" w:eastAsia="楷体" w:cs="楷体"/>
          <w:sz w:val="32"/>
          <w:szCs w:val="32"/>
          <w:lang w:val="en-US" w:eastAsia="zh-CN"/>
        </w:rPr>
        <w:t>（一）部门、院系自查。</w:t>
      </w:r>
      <w:r>
        <w:rPr>
          <w:rFonts w:hint="eastAsia" w:ascii="仿宋_GB2312" w:hAnsi="仿宋_GB2312" w:eastAsia="仿宋_GB2312" w:cs="仿宋_GB2312"/>
          <w:sz w:val="32"/>
          <w:szCs w:val="32"/>
          <w:lang w:val="en-US" w:eastAsia="zh-CN"/>
        </w:rPr>
        <w:t>各部门、院系要成立安全隐患排查整治小组，对照《学校安全隐患大排查大整治暨反诈工作内容和责任分工》（附件2）检查内容，结合实际情况，开展业务范围内安全隐患自查整治工作，并建立自查整改台账。自查工作要做到全覆盖、无死角、无盲点、无漏洞。</w:t>
      </w:r>
    </w:p>
    <w:p w14:paraId="2C0D23F3">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楷体" w:hAnsi="楷体" w:eastAsia="楷体" w:cs="楷体"/>
          <w:sz w:val="32"/>
          <w:szCs w:val="32"/>
          <w:lang w:val="en-US" w:eastAsia="zh-CN"/>
        </w:rPr>
        <w:t>（二）学校联查。</w:t>
      </w:r>
      <w:r>
        <w:rPr>
          <w:rFonts w:hint="eastAsia" w:ascii="仿宋_GB2312" w:hAnsi="仿宋_GB2312" w:eastAsia="仿宋_GB2312" w:cs="仿宋_GB2312"/>
          <w:sz w:val="32"/>
          <w:szCs w:val="32"/>
          <w:lang w:val="en-US" w:eastAsia="zh-CN"/>
        </w:rPr>
        <w:t>由安全工作处牵头，会同教务处、学生处、研究生部、团委、资产管理处、后勤管理处等业务处室，对重点场所的安全隐患进行排查整治，切实消除安全隐患，确保校园安全稳定（具体安排见附件1），首次联查时间为2025年12月12日。</w:t>
      </w:r>
    </w:p>
    <w:p w14:paraId="5E5E8495">
      <w:pPr>
        <w:keepNext w:val="0"/>
        <w:keepLines w:val="0"/>
        <w:pageBreakBefore w:val="0"/>
        <w:widowControl w:val="0"/>
        <w:kinsoku/>
        <w:wordWrap/>
        <w:overflowPunct/>
        <w:topLinePunct w:val="0"/>
        <w:autoSpaceDE/>
        <w:autoSpaceDN/>
        <w:bidi w:val="0"/>
        <w:adjustRightInd/>
        <w:snapToGrid/>
        <w:spacing w:line="620" w:lineRule="exact"/>
        <w:ind w:left="0" w:leftChars="0" w:right="0" w:rightChars="0" w:firstLine="640" w:firstLineChars="200"/>
        <w:jc w:val="both"/>
        <w:textAlignment w:val="auto"/>
        <w:outlineLvl w:val="9"/>
        <w:rPr>
          <w:rFonts w:hint="eastAsia" w:ascii="仿宋_GB2312" w:hAnsi="仿宋_GB2312" w:eastAsia="仿宋_GB2312" w:cs="仿宋_GB2312"/>
          <w:color w:val="auto"/>
          <w:sz w:val="32"/>
          <w:szCs w:val="32"/>
          <w:lang w:eastAsia="zh-CN"/>
        </w:rPr>
      </w:pPr>
      <w:r>
        <w:rPr>
          <w:rFonts w:hint="eastAsia" w:ascii="黑体" w:hAnsi="黑体" w:eastAsia="黑体" w:cs="黑体"/>
          <w:color w:val="auto"/>
          <w:sz w:val="32"/>
          <w:szCs w:val="32"/>
          <w:lang w:val="en-US" w:eastAsia="zh-CN"/>
        </w:rPr>
        <w:t>五</w:t>
      </w:r>
      <w:r>
        <w:rPr>
          <w:rFonts w:hint="eastAsia" w:ascii="黑体" w:hAnsi="黑体" w:eastAsia="黑体" w:cs="黑体"/>
          <w:color w:val="auto"/>
          <w:sz w:val="32"/>
          <w:szCs w:val="32"/>
          <w:lang w:eastAsia="zh-CN"/>
        </w:rPr>
        <w:t>、工作要求</w:t>
      </w:r>
    </w:p>
    <w:p w14:paraId="1B332234">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楷体" w:hAnsi="楷体" w:eastAsia="楷体" w:cs="楷体"/>
          <w:sz w:val="32"/>
          <w:szCs w:val="32"/>
          <w:lang w:val="en-US" w:eastAsia="zh-CN"/>
        </w:rPr>
        <w:t>（一）提高政治站位，加强组织领导。</w:t>
      </w:r>
      <w:r>
        <w:rPr>
          <w:rFonts w:hint="eastAsia" w:ascii="仿宋_GB2312" w:hAnsi="仿宋_GB2312" w:eastAsia="仿宋_GB2312" w:cs="仿宋_GB2312"/>
          <w:sz w:val="32"/>
          <w:szCs w:val="32"/>
          <w:lang w:val="en-US" w:eastAsia="zh-CN"/>
        </w:rPr>
        <w:t>各部门、院系要强化风险意识和底线思维，严格落实“党政同责、一岗双责”要求，根据学校实际和学生情况，找准安全重点难点，压实安全责任，推动各项安全措施落实到位。要坚决反对形式主义，避免走过场现象发生。</w:t>
      </w:r>
    </w:p>
    <w:p w14:paraId="4A6A3E76">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楷体" w:hAnsi="楷体" w:eastAsia="楷体" w:cs="楷体"/>
          <w:sz w:val="32"/>
          <w:szCs w:val="32"/>
          <w:lang w:val="en-US" w:eastAsia="zh-CN"/>
        </w:rPr>
        <w:t>（二）紧盯突出领域</w:t>
      </w:r>
      <w:r>
        <w:rPr>
          <w:rFonts w:hint="eastAsia" w:ascii="仿宋_GB2312" w:hAnsi="仿宋_GB2312" w:eastAsia="仿宋_GB2312" w:cs="仿宋_GB2312"/>
          <w:sz w:val="32"/>
          <w:szCs w:val="32"/>
          <w:lang w:val="en-US" w:eastAsia="zh-CN"/>
        </w:rPr>
        <w:t>，</w:t>
      </w:r>
      <w:r>
        <w:rPr>
          <w:rFonts w:hint="eastAsia" w:ascii="楷体" w:hAnsi="楷体" w:eastAsia="楷体" w:cs="楷体"/>
          <w:sz w:val="32"/>
          <w:szCs w:val="32"/>
          <w:lang w:val="en-US" w:eastAsia="zh-CN"/>
        </w:rPr>
        <w:t>加强重点防范。</w:t>
      </w:r>
      <w:r>
        <w:rPr>
          <w:rFonts w:hint="eastAsia" w:ascii="仿宋_GB2312" w:hAnsi="仿宋_GB2312" w:eastAsia="仿宋_GB2312" w:cs="仿宋_GB2312"/>
          <w:sz w:val="32"/>
          <w:szCs w:val="32"/>
          <w:lang w:val="en-US" w:eastAsia="zh-CN"/>
        </w:rPr>
        <w:t>各部门、院系要紧盯预防校园电信诈骗工作，同时督促家长切实履行法定监护责任，随时与学生保持沟通。要强化校园交通安全意识，配合安全工作处、学生处等部门，加大校外车辆及学生电动车检查整治力度。同时做好电梯、楼梯间秩序维持，严防发生拥挤踩踏等事故。</w:t>
      </w:r>
    </w:p>
    <w:p w14:paraId="50388C72">
      <w:pPr>
        <w:pStyle w:val="8"/>
        <w:keepNext w:val="0"/>
        <w:keepLines w:val="0"/>
        <w:pageBreakBefore w:val="0"/>
        <w:widowControl w:val="0"/>
        <w:kinsoku/>
        <w:wordWrap/>
        <w:overflowPunct/>
        <w:topLinePunct w:val="0"/>
        <w:autoSpaceDE/>
        <w:autoSpaceDN/>
        <w:bidi w:val="0"/>
        <w:adjustRightInd/>
        <w:snapToGrid/>
        <w:spacing w:line="620" w:lineRule="exact"/>
        <w:jc w:val="both"/>
        <w:textAlignment w:val="auto"/>
        <w:outlineLvl w:val="9"/>
        <w:rPr>
          <w:rFonts w:hint="eastAsia" w:ascii="仿宋_GB2312" w:hAnsi="仿宋_GB2312" w:eastAsia="仿宋_GB2312" w:cs="仿宋_GB2312"/>
          <w:sz w:val="32"/>
          <w:szCs w:val="32"/>
          <w:lang w:val="en-US" w:eastAsia="zh-CN"/>
        </w:rPr>
      </w:pPr>
      <w:r>
        <w:rPr>
          <w:rFonts w:hint="eastAsia" w:ascii="楷体" w:hAnsi="楷体" w:eastAsia="楷体" w:cs="楷体"/>
          <w:sz w:val="32"/>
          <w:szCs w:val="32"/>
          <w:lang w:val="en-US" w:eastAsia="zh-CN"/>
        </w:rPr>
        <w:t>（三）结合工作实际，强化安全教育。</w:t>
      </w:r>
      <w:r>
        <w:rPr>
          <w:rFonts w:hint="eastAsia" w:ascii="仿宋_GB2312" w:hAnsi="仿宋_GB2312" w:eastAsia="仿宋_GB2312" w:cs="仿宋_GB2312"/>
          <w:sz w:val="32"/>
          <w:szCs w:val="32"/>
          <w:lang w:val="en-US" w:eastAsia="zh-CN"/>
        </w:rPr>
        <w:t>各部门、院系要根据自身重点防范领域、薄弱环节等实际情况，针对大学生特点，深入开展交通安全、消防安全、食品安全和防溺水、防诈骗、防欺凌等方面安全教育，切实增强学生安全意识和防范能力。要加强预防电信网络诈骗能力建设，提高学生防范应对水平。各院系通过主题班会、网上知识学习等方式开展反诈工作，开展学生家长反诈防范宣传工作，通过家长微信群、QQ群等平台通报被骗典型案例、普及防诈常识；各院系即日起要立即开展1次宣传活动，在寒假学生离校前再集中开展1次专题宣传教育活动。</w:t>
      </w:r>
    </w:p>
    <w:p w14:paraId="083EEEC9">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楷体" w:hAnsi="楷体" w:eastAsia="楷体" w:cs="楷体"/>
          <w:sz w:val="32"/>
          <w:szCs w:val="32"/>
          <w:lang w:val="en-US" w:eastAsia="zh-CN"/>
        </w:rPr>
        <w:t>（四）扛牢责任担当，加强问题整改。</w:t>
      </w:r>
      <w:r>
        <w:rPr>
          <w:rFonts w:hint="eastAsia" w:ascii="仿宋_GB2312" w:hAnsi="仿宋_GB2312" w:eastAsia="仿宋_GB2312" w:cs="仿宋_GB2312"/>
          <w:sz w:val="32"/>
          <w:szCs w:val="32"/>
          <w:lang w:val="en-US" w:eastAsia="zh-CN"/>
        </w:rPr>
        <w:t>各部门、院系务必做到周密部署、全面排查、深入彻底，对排查出来的安全隐患逐一落实整改措施，及时予以整改。限于客观条件一时不能整改的，要设定整改时限，明确整改责任；对存在重大安全隐患的要挂牌督办，限期整改，确保整改工作取得实效。</w:t>
      </w:r>
    </w:p>
    <w:p w14:paraId="2B386E31">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楷体" w:hAnsi="楷体" w:eastAsia="楷体" w:cs="楷体"/>
          <w:sz w:val="32"/>
          <w:szCs w:val="32"/>
          <w:lang w:val="en-US" w:eastAsia="zh-CN"/>
        </w:rPr>
        <w:t>（五）及时总结报告，坚持久久为功。</w:t>
      </w:r>
      <w:r>
        <w:rPr>
          <w:rFonts w:hint="eastAsia" w:ascii="仿宋_GB2312" w:hAnsi="仿宋_GB2312" w:eastAsia="仿宋_GB2312" w:cs="仿宋_GB2312"/>
          <w:sz w:val="32"/>
          <w:szCs w:val="32"/>
          <w:lang w:val="en-US" w:eastAsia="zh-CN"/>
        </w:rPr>
        <w:t>各部门、院系要根据实际情况，参照本通知中《学校安全隐患大排查大整治暨反诈工作内容和责任分工》（附件2）有关排查标准开展工作，要做到持之以恒、久久为功。按照附件3格式将开展情况形成总结报告，连同《学校安全隐患大排查大整治暨反诈工作问题清单》（附件4）、《学生公寓消防安全隐患排查清单》（附件5）加盖部门公章后报送至安全工作处消防控制室（崇德楼B101），PDF和word版发送至邮箱：281681418@qq.com。上述材料须按要求报送2次，首次报送时间为12月18日，第二次报送时间为12月25日。</w:t>
      </w:r>
    </w:p>
    <w:p w14:paraId="4B4C0FBD">
      <w:pPr>
        <w:pStyle w:val="8"/>
        <w:keepNext w:val="0"/>
        <w:keepLines w:val="0"/>
        <w:pageBreakBefore w:val="0"/>
        <w:widowControl w:val="0"/>
        <w:kinsoku/>
        <w:wordWrap/>
        <w:overflowPunct/>
        <w:topLinePunct w:val="0"/>
        <w:autoSpaceDE/>
        <w:autoSpaceDN/>
        <w:bidi w:val="0"/>
        <w:adjustRightInd/>
        <w:snapToGrid/>
        <w:spacing w:line="620" w:lineRule="exact"/>
        <w:ind w:left="0" w:leftChars="0" w:firstLine="640" w:firstLineChars="200"/>
        <w:jc w:val="both"/>
        <w:textAlignment w:val="auto"/>
        <w:outlineLvl w:val="9"/>
        <w:rPr>
          <w:rFonts w:hint="eastAsia" w:ascii="仿宋_GB2312" w:hAnsi="仿宋_GB2312" w:eastAsia="仿宋_GB2312" w:cs="仿宋_GB2312"/>
          <w:sz w:val="32"/>
          <w:szCs w:val="32"/>
          <w:lang w:val="en-US" w:eastAsia="zh-CN"/>
        </w:rPr>
      </w:pPr>
    </w:p>
    <w:p w14:paraId="3FDA4C1A">
      <w:pPr>
        <w:pStyle w:val="8"/>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left="2238" w:leftChars="456" w:right="0" w:rightChars="0" w:hanging="1280" w:hangingChars="400"/>
        <w:jc w:val="both"/>
        <w:textAlignment w:val="auto"/>
        <w:outlineLvl w:val="9"/>
        <w:rPr>
          <w:rFonts w:hint="eastAsia" w:ascii="仿宋_GB2312" w:hAnsi="仿宋_GB2312" w:eastAsia="仿宋_GB2312" w:cs="仿宋_GB2312"/>
          <w:spacing w:val="-11"/>
          <w:kern w:val="0"/>
          <w:sz w:val="32"/>
          <w:szCs w:val="32"/>
          <w:lang w:val="en-US" w:eastAsia="zh-CN" w:bidi="ar-SA"/>
        </w:rPr>
      </w:pPr>
      <w:r>
        <w:rPr>
          <w:rFonts w:hint="eastAsia" w:ascii="仿宋_GB2312" w:hAnsi="仿宋_GB2312" w:eastAsia="仿宋_GB2312" w:cs="仿宋_GB2312"/>
          <w:kern w:val="2"/>
          <w:sz w:val="32"/>
          <w:szCs w:val="32"/>
          <w:lang w:val="en-US" w:eastAsia="zh-CN" w:bidi="ar-SA"/>
        </w:rPr>
        <w:t>附件：</w:t>
      </w:r>
      <w:r>
        <w:rPr>
          <w:rFonts w:hint="eastAsia" w:ascii="仿宋_GB2312" w:hAnsi="仿宋_GB2312" w:eastAsia="仿宋_GB2312" w:cs="仿宋_GB2312"/>
          <w:spacing w:val="-11"/>
          <w:kern w:val="0"/>
          <w:sz w:val="32"/>
          <w:szCs w:val="32"/>
          <w:lang w:val="en-US" w:eastAsia="zh-CN" w:bidi="ar-SA"/>
        </w:rPr>
        <w:t>1.学校安全隐患大排查大整治</w:t>
      </w:r>
      <w:r>
        <w:rPr>
          <w:rFonts w:hint="eastAsia" w:ascii="仿宋_GB2312" w:hAnsi="仿宋_GB2312" w:eastAsia="仿宋_GB2312" w:cs="仿宋_GB2312"/>
          <w:spacing w:val="-11"/>
          <w:kern w:val="0"/>
          <w:sz w:val="32"/>
          <w:szCs w:val="32"/>
          <w:lang w:val="en-US" w:eastAsia="zh-CN"/>
        </w:rPr>
        <w:t>暨反诈工作</w:t>
      </w:r>
      <w:r>
        <w:rPr>
          <w:rFonts w:hint="eastAsia" w:ascii="仿宋_GB2312" w:hAnsi="仿宋_GB2312" w:eastAsia="仿宋_GB2312" w:cs="仿宋_GB2312"/>
          <w:spacing w:val="-11"/>
          <w:kern w:val="0"/>
          <w:sz w:val="32"/>
          <w:szCs w:val="32"/>
          <w:lang w:val="en-US" w:eastAsia="zh-CN" w:bidi="ar-SA"/>
        </w:rPr>
        <w:t>联查分组表</w:t>
      </w:r>
    </w:p>
    <w:p w14:paraId="0FF9B2AE">
      <w:pPr>
        <w:pStyle w:val="8"/>
        <w:keepNext w:val="0"/>
        <w:keepLines w:val="0"/>
        <w:pageBreakBefore w:val="0"/>
        <w:widowControl w:val="0"/>
        <w:numPr>
          <w:ilvl w:val="0"/>
          <w:numId w:val="1"/>
        </w:numPr>
        <w:shd w:val="clear" w:color="auto" w:fill="FFFFFF"/>
        <w:kinsoku/>
        <w:wordWrap/>
        <w:overflowPunct/>
        <w:topLinePunct w:val="0"/>
        <w:autoSpaceDE/>
        <w:autoSpaceDN/>
        <w:bidi w:val="0"/>
        <w:adjustRightInd/>
        <w:snapToGrid/>
        <w:spacing w:beforeAutospacing="0" w:afterAutospacing="0" w:line="560" w:lineRule="exact"/>
        <w:ind w:left="2213" w:leftChars="912" w:right="0" w:rightChars="0" w:hanging="298" w:hangingChars="100"/>
        <w:jc w:val="both"/>
        <w:textAlignment w:val="auto"/>
        <w:outlineLvl w:val="9"/>
        <w:rPr>
          <w:rFonts w:hint="eastAsia" w:ascii="仿宋_GB2312" w:hAnsi="仿宋_GB2312" w:eastAsia="仿宋_GB2312" w:cs="仿宋_GB2312"/>
          <w:spacing w:val="-11"/>
          <w:kern w:val="0"/>
          <w:sz w:val="32"/>
          <w:szCs w:val="32"/>
          <w:lang w:val="en-US" w:eastAsia="zh-CN"/>
        </w:rPr>
      </w:pPr>
      <w:r>
        <w:rPr>
          <w:rFonts w:hint="eastAsia" w:ascii="仿宋_GB2312" w:hAnsi="仿宋_GB2312" w:eastAsia="仿宋_GB2312" w:cs="仿宋_GB2312"/>
          <w:spacing w:val="-11"/>
          <w:kern w:val="0"/>
          <w:sz w:val="32"/>
          <w:szCs w:val="32"/>
          <w:lang w:val="en-US" w:eastAsia="zh-CN"/>
        </w:rPr>
        <w:t>学校安全隐患大排查大整治内容暨反诈工作和责任分工</w:t>
      </w:r>
    </w:p>
    <w:p w14:paraId="031A0D86">
      <w:pPr>
        <w:pStyle w:val="8"/>
        <w:keepNext w:val="0"/>
        <w:keepLines w:val="0"/>
        <w:pageBreakBefore w:val="0"/>
        <w:widowControl w:val="0"/>
        <w:numPr>
          <w:ilvl w:val="0"/>
          <w:numId w:val="1"/>
        </w:numPr>
        <w:shd w:val="clear" w:color="auto" w:fill="FFFFFF"/>
        <w:kinsoku/>
        <w:wordWrap/>
        <w:overflowPunct/>
        <w:topLinePunct w:val="0"/>
        <w:autoSpaceDE/>
        <w:autoSpaceDN/>
        <w:bidi w:val="0"/>
        <w:adjustRightInd/>
        <w:snapToGrid/>
        <w:spacing w:beforeAutospacing="0" w:afterAutospacing="0" w:line="560" w:lineRule="exact"/>
        <w:ind w:left="2213" w:leftChars="912" w:right="0" w:rightChars="0" w:hanging="298" w:hangingChars="100"/>
        <w:jc w:val="both"/>
        <w:textAlignment w:val="auto"/>
        <w:outlineLvl w:val="9"/>
        <w:rPr>
          <w:rFonts w:hint="eastAsia" w:ascii="仿宋_GB2312" w:hAnsi="仿宋_GB2312" w:eastAsia="仿宋_GB2312" w:cs="仿宋_GB2312"/>
          <w:spacing w:val="-11"/>
          <w:kern w:val="0"/>
          <w:sz w:val="32"/>
          <w:szCs w:val="32"/>
          <w:lang w:val="en-US" w:eastAsia="zh-CN"/>
        </w:rPr>
      </w:pPr>
      <w:r>
        <w:rPr>
          <w:rFonts w:hint="eastAsia" w:ascii="仿宋_GB2312" w:hAnsi="仿宋_GB2312" w:eastAsia="仿宋_GB2312" w:cs="仿宋_GB2312"/>
          <w:spacing w:val="-11"/>
          <w:kern w:val="0"/>
          <w:sz w:val="32"/>
          <w:szCs w:val="32"/>
          <w:lang w:val="en-US" w:eastAsia="zh-CN"/>
        </w:rPr>
        <w:t>学校安全隐患大排查大整治暨反诈工作</w:t>
      </w:r>
      <w:r>
        <w:rPr>
          <w:rFonts w:hint="eastAsia" w:ascii="仿宋_GB2312" w:hAnsi="仿宋_GB2312" w:eastAsia="仿宋_GB2312" w:cs="仿宋_GB2312"/>
          <w:spacing w:val="-11"/>
          <w:kern w:val="0"/>
          <w:sz w:val="32"/>
          <w:szCs w:val="32"/>
          <w:lang w:val="en-US" w:eastAsia="zh-CN" w:bidi="ar-SA"/>
        </w:rPr>
        <w:t>总结报告（模板）</w:t>
      </w:r>
    </w:p>
    <w:p w14:paraId="60F679C8">
      <w:pPr>
        <w:pStyle w:val="8"/>
        <w:keepNext w:val="0"/>
        <w:keepLines w:val="0"/>
        <w:pageBreakBefore w:val="0"/>
        <w:widowControl w:val="0"/>
        <w:numPr>
          <w:ilvl w:val="0"/>
          <w:numId w:val="1"/>
        </w:numPr>
        <w:shd w:val="clear" w:color="auto" w:fill="FFFFFF"/>
        <w:kinsoku/>
        <w:wordWrap/>
        <w:overflowPunct/>
        <w:topLinePunct w:val="0"/>
        <w:autoSpaceDE/>
        <w:autoSpaceDN/>
        <w:bidi w:val="0"/>
        <w:adjustRightInd/>
        <w:snapToGrid/>
        <w:spacing w:beforeAutospacing="0" w:afterAutospacing="0" w:line="560" w:lineRule="exact"/>
        <w:ind w:left="2213" w:leftChars="912" w:right="0" w:rightChars="0" w:hanging="298" w:hangingChars="100"/>
        <w:jc w:val="both"/>
        <w:textAlignment w:val="auto"/>
        <w:outlineLvl w:val="9"/>
        <w:rPr>
          <w:rFonts w:hint="eastAsia" w:ascii="仿宋_GB2312" w:hAnsi="仿宋_GB2312" w:eastAsia="仿宋_GB2312" w:cs="仿宋_GB2312"/>
          <w:spacing w:val="-11"/>
          <w:kern w:val="0"/>
          <w:sz w:val="32"/>
          <w:szCs w:val="32"/>
          <w:lang w:val="en-US" w:eastAsia="zh-CN"/>
        </w:rPr>
      </w:pPr>
      <w:r>
        <w:rPr>
          <w:rFonts w:hint="eastAsia" w:ascii="仿宋_GB2312" w:hAnsi="仿宋_GB2312" w:eastAsia="仿宋_GB2312" w:cs="仿宋_GB2312"/>
          <w:spacing w:val="-11"/>
          <w:kern w:val="0"/>
          <w:sz w:val="32"/>
          <w:szCs w:val="32"/>
          <w:lang w:val="en-US" w:eastAsia="zh-CN"/>
        </w:rPr>
        <w:t>学校安全隐患大排查大整治暨反诈工作问题清单</w:t>
      </w:r>
    </w:p>
    <w:p w14:paraId="20CFA192">
      <w:pPr>
        <w:pStyle w:val="8"/>
        <w:keepNext w:val="0"/>
        <w:keepLines w:val="0"/>
        <w:pageBreakBefore w:val="0"/>
        <w:widowControl w:val="0"/>
        <w:numPr>
          <w:ilvl w:val="0"/>
          <w:numId w:val="1"/>
        </w:numPr>
        <w:shd w:val="clear" w:color="auto" w:fill="FFFFFF"/>
        <w:kinsoku/>
        <w:wordWrap/>
        <w:overflowPunct/>
        <w:topLinePunct w:val="0"/>
        <w:autoSpaceDE/>
        <w:autoSpaceDN/>
        <w:bidi w:val="0"/>
        <w:adjustRightInd/>
        <w:snapToGrid/>
        <w:spacing w:beforeAutospacing="0" w:afterAutospacing="0" w:line="560" w:lineRule="exact"/>
        <w:ind w:left="2213" w:leftChars="912" w:right="0" w:rightChars="0" w:hanging="298" w:hangingChars="100"/>
        <w:jc w:val="both"/>
        <w:textAlignment w:val="auto"/>
        <w:outlineLvl w:val="9"/>
        <w:rPr>
          <w:rFonts w:hint="eastAsia" w:ascii="仿宋_GB2312" w:hAnsi="仿宋_GB2312" w:eastAsia="仿宋_GB2312" w:cs="仿宋_GB2312"/>
          <w:spacing w:val="-11"/>
          <w:kern w:val="0"/>
          <w:sz w:val="32"/>
          <w:szCs w:val="32"/>
          <w:lang w:val="en-US" w:eastAsia="zh-CN"/>
        </w:rPr>
      </w:pPr>
      <w:r>
        <w:rPr>
          <w:rFonts w:hint="eastAsia" w:ascii="仿宋_GB2312" w:hAnsi="仿宋_GB2312" w:eastAsia="仿宋_GB2312" w:cs="仿宋_GB2312"/>
          <w:spacing w:val="-11"/>
          <w:kern w:val="0"/>
          <w:sz w:val="32"/>
          <w:szCs w:val="32"/>
          <w:lang w:val="en-US" w:eastAsia="zh-CN"/>
        </w:rPr>
        <w:t>学生公寓消防安全隐患专项排查清单</w:t>
      </w:r>
    </w:p>
    <w:p w14:paraId="66C1DEE4">
      <w:pPr>
        <w:pStyle w:val="8"/>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Autospacing="0" w:afterAutospacing="0" w:line="560" w:lineRule="exact"/>
        <w:ind w:leftChars="812" w:right="0" w:rightChars="0"/>
        <w:jc w:val="both"/>
        <w:textAlignment w:val="auto"/>
        <w:outlineLvl w:val="9"/>
        <w:rPr>
          <w:rFonts w:hint="eastAsia" w:ascii="仿宋_GB2312" w:hAnsi="仿宋_GB2312" w:eastAsia="仿宋_GB2312" w:cs="仿宋_GB2312"/>
          <w:sz w:val="32"/>
          <w:szCs w:val="32"/>
          <w:lang w:val="en-US" w:eastAsia="zh-CN"/>
        </w:rPr>
      </w:pPr>
    </w:p>
    <w:p w14:paraId="266D3A22">
      <w:pPr>
        <w:pStyle w:val="8"/>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Autospacing="0" w:afterAutospacing="0" w:line="560" w:lineRule="exact"/>
        <w:ind w:leftChars="812" w:right="0" w:rightChars="0"/>
        <w:jc w:val="both"/>
        <w:textAlignment w:val="auto"/>
        <w:outlineLvl w:val="9"/>
        <w:rPr>
          <w:rFonts w:hint="eastAsia" w:ascii="仿宋_GB2312" w:hAnsi="仿宋_GB2312" w:eastAsia="仿宋_GB2312" w:cs="仿宋_GB2312"/>
          <w:sz w:val="32"/>
          <w:szCs w:val="32"/>
          <w:lang w:val="en-US" w:eastAsia="zh-CN"/>
        </w:rPr>
      </w:pPr>
    </w:p>
    <w:p w14:paraId="5BBF4D94">
      <w:pPr>
        <w:pStyle w:val="8"/>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Autospacing="0" w:afterAutospacing="0" w:line="560" w:lineRule="exact"/>
        <w:ind w:leftChars="812" w:right="0" w:rightChars="0"/>
        <w:jc w:val="both"/>
        <w:textAlignment w:val="auto"/>
        <w:outlineLvl w:val="9"/>
        <w:rPr>
          <w:rFonts w:hint="eastAsia" w:ascii="仿宋_GB2312" w:hAnsi="仿宋_GB2312" w:eastAsia="仿宋_GB2312" w:cs="仿宋_GB2312"/>
          <w:sz w:val="32"/>
          <w:szCs w:val="32"/>
          <w:lang w:val="en-US" w:eastAsia="zh-CN"/>
        </w:rPr>
      </w:pPr>
    </w:p>
    <w:p w14:paraId="2358BEDA">
      <w:pPr>
        <w:pStyle w:val="8"/>
        <w:keepNext w:val="0"/>
        <w:keepLines w:val="0"/>
        <w:pageBreakBefore w:val="0"/>
        <w:widowControl w:val="0"/>
        <w:numPr>
          <w:ilvl w:val="0"/>
          <w:numId w:val="0"/>
        </w:numPr>
        <w:shd w:val="clear" w:color="auto" w:fill="FFFFFF"/>
        <w:kinsoku/>
        <w:wordWrap w:val="0"/>
        <w:overflowPunct/>
        <w:topLinePunct w:val="0"/>
        <w:autoSpaceDE/>
        <w:autoSpaceDN/>
        <w:bidi w:val="0"/>
        <w:adjustRightInd/>
        <w:snapToGrid/>
        <w:spacing w:beforeAutospacing="0" w:afterAutospacing="0" w:line="560" w:lineRule="exact"/>
        <w:ind w:leftChars="812" w:right="0" w:rightChars="0"/>
        <w:jc w:val="right"/>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河北建筑工程学院校长办公室  </w:t>
      </w:r>
    </w:p>
    <w:p w14:paraId="75EC6944">
      <w:pPr>
        <w:pStyle w:val="8"/>
        <w:keepNext w:val="0"/>
        <w:keepLines w:val="0"/>
        <w:pageBreakBefore w:val="0"/>
        <w:widowControl w:val="0"/>
        <w:numPr>
          <w:ilvl w:val="0"/>
          <w:numId w:val="0"/>
        </w:numPr>
        <w:shd w:val="clear" w:color="auto" w:fill="FFFFFF"/>
        <w:kinsoku/>
        <w:wordWrap w:val="0"/>
        <w:overflowPunct/>
        <w:topLinePunct w:val="0"/>
        <w:autoSpaceDE/>
        <w:autoSpaceDN/>
        <w:bidi w:val="0"/>
        <w:adjustRightInd/>
        <w:snapToGrid/>
        <w:spacing w:beforeAutospacing="0" w:afterAutospacing="0" w:line="560" w:lineRule="exact"/>
        <w:ind w:leftChars="812" w:right="0" w:rightChars="0"/>
        <w:jc w:val="right"/>
        <w:textAlignment w:val="auto"/>
        <w:outlineLvl w:val="9"/>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pacing w:val="-6"/>
          <w:sz w:val="32"/>
          <w:szCs w:val="32"/>
          <w:lang w:val="en-US" w:eastAsia="zh-CN"/>
        </w:rPr>
        <w:t>2025年12月10日</w:t>
      </w:r>
      <w:r>
        <w:rPr>
          <w:rFonts w:hint="eastAsia" w:ascii="仿宋_GB2312" w:hAnsi="仿宋_GB2312" w:eastAsia="仿宋_GB2312" w:cs="仿宋_GB2312"/>
          <w:sz w:val="32"/>
          <w:szCs w:val="32"/>
          <w:lang w:val="en-US" w:eastAsia="zh-CN"/>
        </w:rPr>
        <w:t xml:space="preserve">       </w:t>
      </w:r>
    </w:p>
    <w:p w14:paraId="2A4AEC55">
      <w:pPr>
        <w:rPr>
          <w:rFonts w:hint="eastAsia"/>
          <w:lang w:val="en-US" w:eastAsia="zh-CN"/>
        </w:rPr>
      </w:pPr>
    </w:p>
    <w:p w14:paraId="15541E5B">
      <w:pPr>
        <w:rPr>
          <w:rFonts w:hint="eastAsia"/>
          <w:lang w:val="en-US" w:eastAsia="zh-CN"/>
        </w:rPr>
      </w:pPr>
    </w:p>
    <w:p w14:paraId="68DC09ED">
      <w:pPr>
        <w:rPr>
          <w:rFonts w:hint="eastAsia"/>
          <w:lang w:val="en-US" w:eastAsia="zh-CN"/>
        </w:rPr>
      </w:pPr>
    </w:p>
    <w:p w14:paraId="7E49CF5B">
      <w:pPr>
        <w:rPr>
          <w:rFonts w:hint="eastAsia"/>
          <w:lang w:val="en-US" w:eastAsia="zh-CN"/>
        </w:rPr>
      </w:pPr>
    </w:p>
    <w:p w14:paraId="1A446EB2">
      <w:pPr>
        <w:rPr>
          <w:rFonts w:hint="eastAsia"/>
          <w:lang w:val="en-US" w:eastAsia="zh-CN"/>
        </w:rPr>
      </w:pPr>
    </w:p>
    <w:p w14:paraId="2E69A084">
      <w:pPr>
        <w:rPr>
          <w:rFonts w:hint="eastAsia"/>
          <w:lang w:val="en-US" w:eastAsia="zh-CN"/>
        </w:rPr>
      </w:pPr>
    </w:p>
    <w:p w14:paraId="780AE6CF">
      <w:pPr>
        <w:rPr>
          <w:rFonts w:hint="eastAsia"/>
          <w:lang w:val="en-US" w:eastAsia="zh-CN"/>
        </w:rPr>
      </w:pPr>
    </w:p>
    <w:p w14:paraId="4A4D01E5">
      <w:pPr>
        <w:rPr>
          <w:rFonts w:hint="eastAsia"/>
          <w:lang w:val="en-US" w:eastAsia="zh-CN"/>
        </w:rPr>
      </w:pPr>
    </w:p>
    <w:p w14:paraId="1A48F557">
      <w:pPr>
        <w:rPr>
          <w:rFonts w:hint="eastAsia"/>
          <w:lang w:val="en-US" w:eastAsia="zh-CN"/>
        </w:rPr>
      </w:pPr>
    </w:p>
    <w:p w14:paraId="4B78B2E0">
      <w:pPr>
        <w:rPr>
          <w:rFonts w:hint="eastAsia"/>
          <w:lang w:val="en-US" w:eastAsia="zh-CN"/>
        </w:rPr>
      </w:pPr>
    </w:p>
    <w:p w14:paraId="3B929F63">
      <w:pPr>
        <w:rPr>
          <w:rFonts w:hint="eastAsia"/>
          <w:lang w:val="en-US" w:eastAsia="zh-CN"/>
        </w:rPr>
      </w:pPr>
    </w:p>
    <w:p w14:paraId="537CACBC">
      <w:pPr>
        <w:rPr>
          <w:rFonts w:hint="eastAsia"/>
          <w:lang w:val="en-US" w:eastAsia="zh-CN"/>
        </w:rPr>
      </w:pPr>
    </w:p>
    <w:p w14:paraId="029C7879">
      <w:pPr>
        <w:rPr>
          <w:rFonts w:hint="eastAsia"/>
          <w:lang w:val="en-US" w:eastAsia="zh-CN"/>
        </w:rPr>
      </w:pPr>
    </w:p>
    <w:p w14:paraId="7B15AC3C">
      <w:pPr>
        <w:rPr>
          <w:rFonts w:hint="eastAsia"/>
          <w:lang w:val="en-US" w:eastAsia="zh-CN"/>
        </w:rPr>
      </w:pPr>
    </w:p>
    <w:p w14:paraId="64E02911">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lang w:val="en-US" w:eastAsia="zh-CN"/>
        </w:rPr>
      </w:pPr>
    </w:p>
    <w:p w14:paraId="74601263">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_GB2312" w:eastAsia="仿宋_GB2312"/>
          <w:sz w:val="32"/>
          <w:szCs w:val="32"/>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12</w:t>
      </w:r>
      <w:r>
        <w:rPr>
          <w:rFonts w:hint="eastAsia" w:ascii="仿宋" w:hAnsi="仿宋" w:eastAsia="仿宋" w:cs="仿宋"/>
          <w:sz w:val="28"/>
          <w:szCs w:val="28"/>
        </w:rPr>
        <w:t>月</w:t>
      </w:r>
      <w:r>
        <w:rPr>
          <w:rFonts w:hint="eastAsia" w:ascii="仿宋" w:hAnsi="仿宋" w:eastAsia="仿宋" w:cs="仿宋"/>
          <w:sz w:val="28"/>
          <w:szCs w:val="28"/>
          <w:lang w:val="en-US" w:eastAsia="zh-CN"/>
        </w:rPr>
        <w:t>10</w:t>
      </w:r>
      <w:r>
        <w:rPr>
          <w:rFonts w:hint="eastAsia" w:ascii="仿宋" w:hAnsi="仿宋" w:eastAsia="仿宋" w:cs="仿宋"/>
          <w:sz w:val="28"/>
          <w:szCs w:val="28"/>
        </w:rPr>
        <w:t>日印发</w:t>
      </w:r>
    </w:p>
    <w:p w14:paraId="6A4DDA36">
      <w:pPr>
        <w:jc w:val="both"/>
        <w:rPr>
          <w:rFonts w:hint="default" w:ascii="仿宋_GB2312" w:eastAsia="仿宋_GB2312"/>
          <w:sz w:val="32"/>
          <w:szCs w:val="32"/>
          <w:lang w:val="en-US" w:eastAsia="zh-CN"/>
        </w:rPr>
      </w:pPr>
      <w:r>
        <w:rPr>
          <w:rFonts w:hint="eastAsia" w:ascii="仿宋_GB2312" w:eastAsia="仿宋_GB2312"/>
          <w:sz w:val="32"/>
          <w:szCs w:val="32"/>
          <w:lang w:val="en-US" w:eastAsia="zh-CN"/>
        </w:rPr>
        <w:br w:type="page"/>
      </w:r>
      <w:r>
        <w:rPr>
          <w:rFonts w:hint="eastAsia" w:ascii="黑体" w:hAnsi="黑体" w:eastAsia="黑体" w:cs="黑体"/>
          <w:sz w:val="32"/>
          <w:szCs w:val="32"/>
          <w:lang w:val="en-US" w:eastAsia="zh-CN"/>
        </w:rPr>
        <w:t>附件1</w:t>
      </w:r>
    </w:p>
    <w:p w14:paraId="745263CD">
      <w:pPr>
        <w:ind w:firstLine="560"/>
        <w:jc w:val="center"/>
        <w:rPr>
          <w:rFonts w:hint="eastAsia" w:eastAsia="宋体"/>
          <w:b/>
          <w:sz w:val="36"/>
          <w:szCs w:val="36"/>
          <w:lang w:val="en-US" w:eastAsia="zh-CN"/>
        </w:rPr>
      </w:pPr>
      <w:r>
        <w:rPr>
          <w:rFonts w:hint="eastAsia" w:ascii="宋体" w:hAnsi="宋体" w:eastAsia="宋体" w:cs="Times New Roman"/>
          <w:b/>
          <w:sz w:val="36"/>
          <w:szCs w:val="36"/>
          <w:lang w:val="en-US" w:eastAsia="zh-CN"/>
        </w:rPr>
        <w:t>学校安全隐患大排查大整治</w:t>
      </w:r>
      <w:r>
        <w:rPr>
          <w:rFonts w:hint="eastAsia" w:ascii="宋体" w:hAnsi="宋体" w:cs="Times New Roman"/>
          <w:b/>
          <w:sz w:val="36"/>
          <w:szCs w:val="36"/>
          <w:lang w:val="en-US" w:eastAsia="zh-CN"/>
        </w:rPr>
        <w:t>暨反诈工作</w:t>
      </w:r>
      <w:r>
        <w:rPr>
          <w:rFonts w:hint="eastAsia" w:ascii="宋体" w:hAnsi="宋体" w:eastAsia="宋体" w:cs="Times New Roman"/>
          <w:b/>
          <w:sz w:val="36"/>
          <w:szCs w:val="36"/>
          <w:lang w:val="en-US" w:eastAsia="zh-CN"/>
        </w:rPr>
        <w:t>联查</w:t>
      </w:r>
      <w:r>
        <w:rPr>
          <w:rFonts w:hint="eastAsia" w:ascii="宋体" w:hAnsi="宋体"/>
          <w:b/>
          <w:sz w:val="36"/>
          <w:szCs w:val="36"/>
          <w:lang w:val="en-US" w:eastAsia="zh-CN"/>
        </w:rPr>
        <w:t>分</w:t>
      </w:r>
      <w:r>
        <w:rPr>
          <w:rFonts w:hint="eastAsia" w:ascii="宋体" w:hAnsi="宋体" w:eastAsia="宋体"/>
          <w:b/>
          <w:sz w:val="36"/>
          <w:szCs w:val="36"/>
        </w:rPr>
        <w:t>组</w:t>
      </w:r>
      <w:r>
        <w:rPr>
          <w:rFonts w:hint="eastAsia" w:ascii="宋体" w:hAnsi="宋体"/>
          <w:b/>
          <w:sz w:val="36"/>
          <w:szCs w:val="36"/>
          <w:lang w:val="en-US" w:eastAsia="zh-CN"/>
        </w:rPr>
        <w:t>表</w:t>
      </w:r>
    </w:p>
    <w:tbl>
      <w:tblPr>
        <w:tblStyle w:val="5"/>
        <w:tblW w:w="96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0"/>
        <w:gridCol w:w="1188"/>
        <w:gridCol w:w="3505"/>
        <w:gridCol w:w="1623"/>
        <w:gridCol w:w="2697"/>
      </w:tblGrid>
      <w:tr w14:paraId="02FB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jc w:val="center"/>
        </w:trPr>
        <w:tc>
          <w:tcPr>
            <w:tcW w:w="660" w:type="dxa"/>
            <w:noWrap w:val="0"/>
            <w:vAlign w:val="center"/>
          </w:tcPr>
          <w:p w14:paraId="4E5EC01B">
            <w:pPr>
              <w:jc w:val="center"/>
              <w:rPr>
                <w:rFonts w:ascii="仿宋" w:hAnsi="仿宋" w:eastAsia="仿宋" w:cs="仿宋"/>
                <w:b/>
                <w:sz w:val="24"/>
              </w:rPr>
            </w:pPr>
            <w:r>
              <w:rPr>
                <w:rFonts w:hint="eastAsia" w:ascii="仿宋" w:hAnsi="仿宋" w:eastAsia="仿宋" w:cs="仿宋"/>
                <w:b/>
                <w:sz w:val="24"/>
              </w:rPr>
              <w:t>组别</w:t>
            </w:r>
          </w:p>
        </w:tc>
        <w:tc>
          <w:tcPr>
            <w:tcW w:w="1188" w:type="dxa"/>
            <w:noWrap w:val="0"/>
            <w:vAlign w:val="center"/>
          </w:tcPr>
          <w:p w14:paraId="305CDF7B">
            <w:pPr>
              <w:jc w:val="center"/>
              <w:rPr>
                <w:rFonts w:ascii="仿宋" w:hAnsi="仿宋" w:eastAsia="仿宋" w:cs="仿宋"/>
                <w:b/>
                <w:sz w:val="24"/>
              </w:rPr>
            </w:pPr>
            <w:r>
              <w:rPr>
                <w:rFonts w:hint="eastAsia" w:ascii="仿宋" w:hAnsi="仿宋" w:eastAsia="仿宋" w:cs="仿宋"/>
                <w:b/>
                <w:sz w:val="24"/>
              </w:rPr>
              <w:t>组长</w:t>
            </w:r>
          </w:p>
        </w:tc>
        <w:tc>
          <w:tcPr>
            <w:tcW w:w="3505" w:type="dxa"/>
            <w:noWrap w:val="0"/>
            <w:vAlign w:val="center"/>
          </w:tcPr>
          <w:p w14:paraId="02EB3D29">
            <w:pPr>
              <w:jc w:val="center"/>
              <w:rPr>
                <w:rFonts w:ascii="仿宋" w:hAnsi="仿宋" w:eastAsia="仿宋" w:cs="仿宋"/>
                <w:b/>
                <w:sz w:val="24"/>
              </w:rPr>
            </w:pPr>
            <w:r>
              <w:rPr>
                <w:rFonts w:hint="eastAsia" w:ascii="仿宋" w:hAnsi="仿宋" w:eastAsia="仿宋" w:cs="仿宋"/>
                <w:b/>
                <w:sz w:val="24"/>
              </w:rPr>
              <w:t>成员</w:t>
            </w:r>
          </w:p>
        </w:tc>
        <w:tc>
          <w:tcPr>
            <w:tcW w:w="1623" w:type="dxa"/>
            <w:noWrap w:val="0"/>
            <w:vAlign w:val="center"/>
          </w:tcPr>
          <w:p w14:paraId="68D8F353">
            <w:pPr>
              <w:jc w:val="center"/>
              <w:rPr>
                <w:rFonts w:ascii="仿宋" w:hAnsi="仿宋" w:eastAsia="仿宋" w:cs="仿宋"/>
                <w:b/>
                <w:sz w:val="24"/>
              </w:rPr>
            </w:pPr>
            <w:r>
              <w:rPr>
                <w:rFonts w:hint="eastAsia" w:ascii="仿宋" w:hAnsi="仿宋" w:eastAsia="仿宋" w:cs="仿宋"/>
                <w:b/>
                <w:sz w:val="24"/>
              </w:rPr>
              <w:t>记录/</w:t>
            </w:r>
          </w:p>
          <w:p w14:paraId="3F53C297">
            <w:pPr>
              <w:jc w:val="center"/>
              <w:rPr>
                <w:rFonts w:ascii="仿宋" w:hAnsi="仿宋" w:eastAsia="仿宋" w:cs="仿宋"/>
                <w:b/>
                <w:sz w:val="24"/>
              </w:rPr>
            </w:pPr>
            <w:r>
              <w:rPr>
                <w:rFonts w:hint="eastAsia" w:ascii="仿宋" w:hAnsi="仿宋" w:eastAsia="仿宋" w:cs="仿宋"/>
                <w:b/>
                <w:sz w:val="24"/>
              </w:rPr>
              <w:t>联络员</w:t>
            </w:r>
          </w:p>
        </w:tc>
        <w:tc>
          <w:tcPr>
            <w:tcW w:w="2697" w:type="dxa"/>
            <w:noWrap w:val="0"/>
            <w:vAlign w:val="center"/>
          </w:tcPr>
          <w:p w14:paraId="1DBBBC29">
            <w:pPr>
              <w:jc w:val="center"/>
              <w:rPr>
                <w:rFonts w:ascii="仿宋" w:hAnsi="仿宋" w:eastAsia="仿宋" w:cs="仿宋"/>
                <w:b/>
                <w:sz w:val="24"/>
              </w:rPr>
            </w:pPr>
            <w:r>
              <w:rPr>
                <w:rFonts w:hint="eastAsia" w:ascii="仿宋" w:hAnsi="仿宋" w:eastAsia="仿宋" w:cs="仿宋"/>
                <w:b/>
                <w:sz w:val="24"/>
              </w:rPr>
              <w:t>主要检查区域/内容</w:t>
            </w:r>
          </w:p>
        </w:tc>
      </w:tr>
      <w:tr w14:paraId="7FBE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660" w:type="dxa"/>
            <w:noWrap w:val="0"/>
            <w:vAlign w:val="center"/>
          </w:tcPr>
          <w:p w14:paraId="04D766DF">
            <w:pPr>
              <w:jc w:val="center"/>
              <w:rPr>
                <w:rFonts w:ascii="仿宋" w:hAnsi="仿宋" w:eastAsia="仿宋" w:cs="仿宋"/>
                <w:sz w:val="24"/>
              </w:rPr>
            </w:pPr>
            <w:r>
              <w:rPr>
                <w:rFonts w:hint="eastAsia" w:ascii="仿宋" w:hAnsi="仿宋" w:eastAsia="仿宋" w:cs="仿宋"/>
                <w:sz w:val="24"/>
              </w:rPr>
              <w:t>第</w:t>
            </w:r>
          </w:p>
          <w:p w14:paraId="7239D5A1">
            <w:pPr>
              <w:jc w:val="center"/>
              <w:rPr>
                <w:rFonts w:ascii="仿宋" w:hAnsi="仿宋" w:eastAsia="仿宋" w:cs="仿宋"/>
                <w:sz w:val="24"/>
              </w:rPr>
            </w:pPr>
            <w:r>
              <w:rPr>
                <w:rFonts w:hint="eastAsia" w:ascii="仿宋" w:hAnsi="仿宋" w:eastAsia="仿宋" w:cs="仿宋"/>
                <w:sz w:val="24"/>
              </w:rPr>
              <w:t>一</w:t>
            </w:r>
          </w:p>
          <w:p w14:paraId="5F68B8D1">
            <w:pPr>
              <w:jc w:val="center"/>
              <w:rPr>
                <w:rFonts w:ascii="仿宋" w:hAnsi="仿宋" w:eastAsia="仿宋" w:cs="仿宋"/>
                <w:sz w:val="24"/>
              </w:rPr>
            </w:pPr>
            <w:r>
              <w:rPr>
                <w:rFonts w:hint="eastAsia" w:ascii="仿宋" w:hAnsi="仿宋" w:eastAsia="仿宋" w:cs="仿宋"/>
                <w:sz w:val="24"/>
              </w:rPr>
              <w:t>组</w:t>
            </w:r>
          </w:p>
        </w:tc>
        <w:tc>
          <w:tcPr>
            <w:tcW w:w="1188" w:type="dxa"/>
            <w:noWrap w:val="0"/>
            <w:vAlign w:val="center"/>
          </w:tcPr>
          <w:p w14:paraId="16A11B25">
            <w:pPr>
              <w:jc w:val="center"/>
              <w:rPr>
                <w:rFonts w:hint="eastAsia"/>
                <w:lang w:eastAsia="zh-CN"/>
              </w:rPr>
            </w:pPr>
            <w:r>
              <w:rPr>
                <w:rFonts w:hint="eastAsia" w:ascii="仿宋" w:hAnsi="仿宋" w:eastAsia="仿宋" w:cs="仿宋"/>
                <w:sz w:val="24"/>
                <w:lang w:val="en-US" w:eastAsia="zh-CN"/>
              </w:rPr>
              <w:t>王建民</w:t>
            </w:r>
          </w:p>
        </w:tc>
        <w:tc>
          <w:tcPr>
            <w:tcW w:w="3505" w:type="dxa"/>
            <w:noWrap w:val="0"/>
            <w:vAlign w:val="center"/>
          </w:tcPr>
          <w:p w14:paraId="510B7FA9">
            <w:pPr>
              <w:jc w:val="center"/>
              <w:rPr>
                <w:rFonts w:hint="default" w:ascii="仿宋" w:hAnsi="仿宋" w:eastAsia="仿宋" w:cs="仿宋"/>
                <w:sz w:val="24"/>
                <w:lang w:val="en-US" w:eastAsia="zh-CN"/>
              </w:rPr>
            </w:pPr>
            <w:r>
              <w:rPr>
                <w:rFonts w:hint="eastAsia" w:ascii="仿宋" w:hAnsi="仿宋" w:eastAsia="仿宋" w:cs="仿宋"/>
                <w:sz w:val="24"/>
                <w:lang w:val="en-US" w:eastAsia="zh-CN"/>
              </w:rPr>
              <w:t>贾玉贵、邓大鹏、刘继文</w:t>
            </w:r>
            <w:r>
              <w:rPr>
                <w:rFonts w:hint="eastAsia" w:ascii="仿宋" w:hAnsi="仿宋" w:eastAsia="仿宋" w:cs="仿宋"/>
                <w:sz w:val="24"/>
                <w:lang w:eastAsia="zh-CN"/>
              </w:rPr>
              <w:t>、</w:t>
            </w:r>
            <w:r>
              <w:rPr>
                <w:rFonts w:hint="eastAsia" w:ascii="仿宋" w:hAnsi="仿宋" w:eastAsia="仿宋" w:cs="仿宋"/>
                <w:sz w:val="24"/>
                <w:lang w:val="en-US" w:eastAsia="zh-CN"/>
              </w:rPr>
              <w:t>赵凡利、党委宣传部</w:t>
            </w:r>
          </w:p>
        </w:tc>
        <w:tc>
          <w:tcPr>
            <w:tcW w:w="1623" w:type="dxa"/>
            <w:noWrap w:val="0"/>
            <w:vAlign w:val="center"/>
          </w:tcPr>
          <w:p w14:paraId="6AA3D201">
            <w:pPr>
              <w:jc w:val="center"/>
              <w:rPr>
                <w:rFonts w:hint="default" w:ascii="仿宋" w:hAnsi="仿宋" w:eastAsia="仿宋" w:cs="仿宋"/>
                <w:sz w:val="24"/>
                <w:lang w:val="en-US" w:eastAsia="zh-CN"/>
              </w:rPr>
            </w:pPr>
            <w:r>
              <w:rPr>
                <w:rFonts w:hint="eastAsia" w:ascii="仿宋" w:hAnsi="仿宋" w:eastAsia="仿宋" w:cs="仿宋"/>
                <w:sz w:val="24"/>
                <w:lang w:val="en-US" w:eastAsia="zh-CN"/>
              </w:rPr>
              <w:t>郭文博</w:t>
            </w:r>
            <w:r>
              <w:rPr>
                <w:rFonts w:ascii="仿宋" w:hAnsi="仿宋" w:eastAsia="仿宋" w:cs="仿宋"/>
                <w:sz w:val="24"/>
              </w:rPr>
              <w:t>1</w:t>
            </w:r>
            <w:r>
              <w:rPr>
                <w:rFonts w:hint="eastAsia" w:ascii="仿宋" w:hAnsi="仿宋" w:eastAsia="仿宋" w:cs="仿宋"/>
                <w:sz w:val="24"/>
                <w:lang w:val="en-US" w:eastAsia="zh-CN"/>
              </w:rPr>
              <w:t>7736372282</w:t>
            </w:r>
          </w:p>
        </w:tc>
        <w:tc>
          <w:tcPr>
            <w:tcW w:w="2697" w:type="dxa"/>
            <w:noWrap w:val="0"/>
            <w:vAlign w:val="center"/>
          </w:tcPr>
          <w:p w14:paraId="5BCE5495">
            <w:pPr>
              <w:jc w:val="center"/>
              <w:rPr>
                <w:rFonts w:hint="default" w:ascii="仿宋" w:hAnsi="仿宋" w:eastAsia="仿宋" w:cs="仿宋"/>
                <w:sz w:val="24"/>
                <w:lang w:val="en-US" w:eastAsia="zh-CN"/>
              </w:rPr>
            </w:pPr>
            <w:r>
              <w:rPr>
                <w:rFonts w:hint="eastAsia" w:ascii="仿宋" w:hAnsi="仿宋" w:eastAsia="仿宋" w:cs="仿宋"/>
                <w:sz w:val="24"/>
                <w:lang w:val="en-US" w:eastAsia="zh-CN"/>
              </w:rPr>
              <w:t>校门、校内公共区域、校内重点场所及各部门、院系报送风险隐患部位</w:t>
            </w:r>
          </w:p>
        </w:tc>
      </w:tr>
      <w:tr w14:paraId="0C21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0" w:hRule="atLeast"/>
          <w:jc w:val="center"/>
        </w:trPr>
        <w:tc>
          <w:tcPr>
            <w:tcW w:w="660" w:type="dxa"/>
            <w:noWrap w:val="0"/>
            <w:vAlign w:val="center"/>
          </w:tcPr>
          <w:p w14:paraId="7F15BE7D">
            <w:pPr>
              <w:jc w:val="center"/>
              <w:rPr>
                <w:rFonts w:ascii="仿宋" w:hAnsi="仿宋" w:eastAsia="仿宋" w:cs="仿宋"/>
                <w:sz w:val="24"/>
              </w:rPr>
            </w:pPr>
            <w:r>
              <w:rPr>
                <w:rFonts w:hint="eastAsia" w:ascii="仿宋" w:hAnsi="仿宋" w:eastAsia="仿宋" w:cs="仿宋"/>
                <w:sz w:val="24"/>
              </w:rPr>
              <w:t>第</w:t>
            </w:r>
          </w:p>
          <w:p w14:paraId="69FCAF60">
            <w:pPr>
              <w:jc w:val="center"/>
              <w:rPr>
                <w:rFonts w:ascii="仿宋" w:hAnsi="仿宋" w:eastAsia="仿宋" w:cs="仿宋"/>
                <w:sz w:val="24"/>
              </w:rPr>
            </w:pPr>
            <w:r>
              <w:rPr>
                <w:rFonts w:hint="eastAsia" w:ascii="仿宋" w:hAnsi="仿宋" w:eastAsia="仿宋" w:cs="仿宋"/>
                <w:sz w:val="24"/>
              </w:rPr>
              <w:t>二</w:t>
            </w:r>
          </w:p>
          <w:p w14:paraId="7A23C3A1">
            <w:pPr>
              <w:jc w:val="center"/>
              <w:rPr>
                <w:rFonts w:hint="eastAsia" w:ascii="仿宋" w:hAnsi="仿宋" w:eastAsia="仿宋" w:cs="仿宋"/>
                <w:sz w:val="24"/>
              </w:rPr>
            </w:pPr>
            <w:r>
              <w:rPr>
                <w:rFonts w:hint="eastAsia" w:ascii="仿宋" w:hAnsi="仿宋" w:eastAsia="仿宋" w:cs="仿宋"/>
                <w:sz w:val="24"/>
              </w:rPr>
              <w:t>组</w:t>
            </w:r>
          </w:p>
        </w:tc>
        <w:tc>
          <w:tcPr>
            <w:tcW w:w="1188" w:type="dxa"/>
            <w:noWrap w:val="0"/>
            <w:vAlign w:val="center"/>
          </w:tcPr>
          <w:p w14:paraId="386B43F7">
            <w:pPr>
              <w:jc w:val="center"/>
              <w:rPr>
                <w:rFonts w:hint="eastAsia" w:ascii="仿宋" w:hAnsi="仿宋" w:eastAsia="仿宋" w:cs="仿宋"/>
                <w:sz w:val="24"/>
                <w:lang w:val="en-US" w:eastAsia="zh-CN"/>
              </w:rPr>
            </w:pPr>
            <w:r>
              <w:rPr>
                <w:rFonts w:hint="eastAsia" w:ascii="仿宋" w:hAnsi="仿宋" w:eastAsia="仿宋" w:cs="仿宋"/>
                <w:sz w:val="24"/>
                <w:lang w:val="en-US" w:eastAsia="zh-CN"/>
              </w:rPr>
              <w:t>胡建林</w:t>
            </w:r>
          </w:p>
        </w:tc>
        <w:tc>
          <w:tcPr>
            <w:tcW w:w="3505" w:type="dxa"/>
            <w:noWrap w:val="0"/>
            <w:vAlign w:val="center"/>
          </w:tcPr>
          <w:p w14:paraId="48D47E01">
            <w:pPr>
              <w:jc w:val="center"/>
              <w:rPr>
                <w:rFonts w:hint="eastAsia" w:ascii="仿宋" w:hAnsi="仿宋" w:eastAsia="仿宋" w:cs="仿宋"/>
                <w:sz w:val="24"/>
                <w:lang w:val="en-US" w:eastAsia="zh-CN"/>
              </w:rPr>
            </w:pPr>
          </w:p>
          <w:p w14:paraId="24052EE2">
            <w:pPr>
              <w:jc w:val="center"/>
              <w:rPr>
                <w:rFonts w:hint="eastAsia" w:ascii="仿宋" w:hAnsi="仿宋" w:eastAsia="仿宋" w:cs="仿宋"/>
                <w:sz w:val="24"/>
                <w:lang w:val="en-US" w:eastAsia="zh-CN"/>
              </w:rPr>
            </w:pPr>
            <w:r>
              <w:rPr>
                <w:rFonts w:hint="eastAsia" w:ascii="仿宋" w:hAnsi="仿宋" w:eastAsia="仿宋" w:cs="仿宋"/>
                <w:sz w:val="24"/>
                <w:lang w:val="en-US" w:eastAsia="zh-CN"/>
              </w:rPr>
              <w:t>韩义兵，教务处、科研处、</w:t>
            </w:r>
            <w:r>
              <w:rPr>
                <w:rFonts w:hint="eastAsia" w:ascii="仿宋" w:hAnsi="仿宋" w:eastAsia="仿宋" w:cs="仿宋"/>
                <w:sz w:val="24"/>
              </w:rPr>
              <w:t>资产管理处</w:t>
            </w:r>
            <w:r>
              <w:rPr>
                <w:rFonts w:hint="eastAsia" w:ascii="仿宋" w:hAnsi="仿宋" w:eastAsia="仿宋" w:cs="仿宋"/>
                <w:sz w:val="24"/>
                <w:lang w:eastAsia="zh-CN"/>
              </w:rPr>
              <w:t>、</w:t>
            </w:r>
            <w:r>
              <w:rPr>
                <w:rFonts w:hint="eastAsia" w:ascii="仿宋" w:hAnsi="仿宋" w:eastAsia="仿宋" w:cs="仿宋"/>
                <w:sz w:val="24"/>
                <w:lang w:val="en-US" w:eastAsia="zh-CN"/>
              </w:rPr>
              <w:t>团委相关工作人员、</w:t>
            </w:r>
          </w:p>
          <w:p w14:paraId="03E757EF">
            <w:pPr>
              <w:jc w:val="center"/>
              <w:rPr>
                <w:rFonts w:hint="default" w:ascii="仿宋" w:hAnsi="仿宋" w:eastAsia="仿宋" w:cs="仿宋"/>
                <w:sz w:val="24"/>
                <w:lang w:val="en-US" w:eastAsia="zh-CN"/>
              </w:rPr>
            </w:pPr>
            <w:r>
              <w:rPr>
                <w:rFonts w:hint="eastAsia" w:ascii="仿宋" w:hAnsi="仿宋" w:eastAsia="仿宋" w:cs="仿宋"/>
                <w:sz w:val="24"/>
                <w:lang w:val="en-US" w:eastAsia="zh-CN"/>
              </w:rPr>
              <w:t>消防维保负责人</w:t>
            </w:r>
          </w:p>
          <w:p w14:paraId="21A46190">
            <w:pPr>
              <w:jc w:val="center"/>
              <w:rPr>
                <w:rFonts w:hint="eastAsia" w:ascii="仿宋" w:hAnsi="仿宋" w:eastAsia="仿宋" w:cs="仿宋"/>
                <w:sz w:val="24"/>
                <w:lang w:val="en-US" w:eastAsia="zh-CN"/>
              </w:rPr>
            </w:pPr>
          </w:p>
        </w:tc>
        <w:tc>
          <w:tcPr>
            <w:tcW w:w="1623" w:type="dxa"/>
            <w:noWrap w:val="0"/>
            <w:vAlign w:val="center"/>
          </w:tcPr>
          <w:p w14:paraId="6D257010">
            <w:pPr>
              <w:jc w:val="center"/>
              <w:rPr>
                <w:rFonts w:hint="eastAsia" w:ascii="仿宋" w:hAnsi="仿宋" w:eastAsia="仿宋" w:cs="仿宋"/>
                <w:sz w:val="24"/>
                <w:lang w:val="en-US" w:eastAsia="zh-CN"/>
              </w:rPr>
            </w:pPr>
            <w:r>
              <w:rPr>
                <w:rFonts w:hint="eastAsia" w:ascii="仿宋" w:hAnsi="仿宋" w:eastAsia="仿宋" w:cs="仿宋"/>
                <w:sz w:val="24"/>
                <w:lang w:val="en-US" w:eastAsia="zh-CN"/>
              </w:rPr>
              <w:t>赵 飞</w:t>
            </w:r>
          </w:p>
          <w:p w14:paraId="7EC7C666">
            <w:pPr>
              <w:jc w:val="center"/>
              <w:rPr>
                <w:rFonts w:hint="default" w:ascii="仿宋" w:hAnsi="仿宋" w:eastAsia="仿宋" w:cs="仿宋"/>
                <w:sz w:val="24"/>
                <w:lang w:val="en-US" w:eastAsia="zh-CN"/>
              </w:rPr>
            </w:pPr>
            <w:r>
              <w:rPr>
                <w:rFonts w:hint="eastAsia" w:ascii="仿宋" w:hAnsi="仿宋" w:eastAsia="仿宋" w:cs="仿宋"/>
                <w:sz w:val="24"/>
                <w:lang w:val="en-US" w:eastAsia="zh-CN"/>
              </w:rPr>
              <w:t>18034312312</w:t>
            </w:r>
          </w:p>
        </w:tc>
        <w:tc>
          <w:tcPr>
            <w:tcW w:w="2697" w:type="dxa"/>
            <w:noWrap w:val="0"/>
            <w:vAlign w:val="center"/>
          </w:tcPr>
          <w:p w14:paraId="32A2BE34">
            <w:pPr>
              <w:jc w:val="center"/>
              <w:rPr>
                <w:rFonts w:hint="eastAsia" w:ascii="仿宋" w:hAnsi="仿宋" w:eastAsia="仿宋" w:cs="仿宋"/>
                <w:sz w:val="24"/>
                <w:lang w:val="en-US" w:eastAsia="zh-CN"/>
              </w:rPr>
            </w:pPr>
            <w:r>
              <w:rPr>
                <w:rFonts w:hint="eastAsia" w:ascii="仿宋" w:hAnsi="仿宋" w:eastAsia="仿宋" w:cs="仿宋"/>
                <w:sz w:val="24"/>
                <w:lang w:val="en-US" w:eastAsia="zh-CN"/>
              </w:rPr>
              <w:t xml:space="preserve">  崇德楼、明德楼、</w:t>
            </w:r>
          </w:p>
          <w:p w14:paraId="03B71505">
            <w:pPr>
              <w:jc w:val="center"/>
              <w:rPr>
                <w:rFonts w:hint="eastAsia" w:ascii="仿宋" w:hAnsi="仿宋" w:eastAsia="仿宋" w:cs="仿宋"/>
                <w:sz w:val="24"/>
                <w:lang w:val="en-US" w:eastAsia="zh-CN"/>
              </w:rPr>
            </w:pPr>
            <w:r>
              <w:rPr>
                <w:rFonts w:hint="eastAsia" w:ascii="仿宋" w:hAnsi="仿宋" w:eastAsia="仿宋" w:cs="仿宋"/>
                <w:sz w:val="24"/>
                <w:lang w:val="en-US" w:eastAsia="zh-CN"/>
              </w:rPr>
              <w:t>立德楼、图书馆</w:t>
            </w:r>
          </w:p>
          <w:p w14:paraId="53C93CAE">
            <w:pPr>
              <w:jc w:val="center"/>
              <w:rPr>
                <w:rFonts w:hint="default" w:ascii="仿宋" w:hAnsi="仿宋" w:eastAsia="仿宋" w:cs="仿宋"/>
                <w:sz w:val="24"/>
                <w:lang w:val="en-US" w:eastAsia="zh-CN"/>
              </w:rPr>
            </w:pPr>
            <w:r>
              <w:rPr>
                <w:rFonts w:hint="eastAsia" w:ascii="仿宋" w:hAnsi="仿宋" w:eastAsia="仿宋" w:cs="仿宋"/>
                <w:sz w:val="24"/>
                <w:lang w:val="en-US" w:eastAsia="zh-CN"/>
              </w:rPr>
              <w:t>电气信工楼、土木楼、机械楼、能源市政楼、体育场看台</w:t>
            </w:r>
          </w:p>
        </w:tc>
      </w:tr>
      <w:tr w14:paraId="139B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jc w:val="center"/>
        </w:trPr>
        <w:tc>
          <w:tcPr>
            <w:tcW w:w="660" w:type="dxa"/>
            <w:noWrap w:val="0"/>
            <w:vAlign w:val="center"/>
          </w:tcPr>
          <w:p w14:paraId="65D52932">
            <w:pPr>
              <w:jc w:val="center"/>
              <w:rPr>
                <w:rFonts w:ascii="仿宋" w:hAnsi="仿宋" w:eastAsia="仿宋" w:cs="仿宋"/>
                <w:sz w:val="24"/>
              </w:rPr>
            </w:pPr>
            <w:r>
              <w:rPr>
                <w:rFonts w:hint="eastAsia" w:ascii="仿宋" w:hAnsi="仿宋" w:eastAsia="仿宋" w:cs="仿宋"/>
                <w:sz w:val="24"/>
              </w:rPr>
              <w:t>第</w:t>
            </w:r>
          </w:p>
          <w:p w14:paraId="61ED0698">
            <w:pPr>
              <w:jc w:val="center"/>
              <w:rPr>
                <w:rFonts w:ascii="仿宋" w:hAnsi="仿宋" w:eastAsia="仿宋" w:cs="仿宋"/>
                <w:sz w:val="24"/>
              </w:rPr>
            </w:pPr>
            <w:r>
              <w:rPr>
                <w:rFonts w:hint="eastAsia" w:ascii="仿宋" w:hAnsi="仿宋" w:eastAsia="仿宋" w:cs="仿宋"/>
                <w:sz w:val="24"/>
                <w:lang w:val="en-US" w:eastAsia="zh-CN"/>
              </w:rPr>
              <w:t>三</w:t>
            </w:r>
            <w:r>
              <w:rPr>
                <w:rFonts w:hint="eastAsia" w:ascii="仿宋" w:hAnsi="仿宋" w:eastAsia="仿宋" w:cs="仿宋"/>
                <w:sz w:val="24"/>
              </w:rPr>
              <w:t>组</w:t>
            </w:r>
          </w:p>
        </w:tc>
        <w:tc>
          <w:tcPr>
            <w:tcW w:w="1188" w:type="dxa"/>
            <w:noWrap w:val="0"/>
            <w:vAlign w:val="center"/>
          </w:tcPr>
          <w:p w14:paraId="5D552D77">
            <w:pPr>
              <w:jc w:val="center"/>
              <w:rPr>
                <w:rFonts w:hint="default" w:ascii="仿宋" w:hAnsi="仿宋" w:eastAsia="仿宋" w:cs="仿宋"/>
                <w:sz w:val="24"/>
                <w:lang w:val="en-US" w:eastAsia="zh-CN"/>
              </w:rPr>
            </w:pPr>
            <w:r>
              <w:rPr>
                <w:rFonts w:hint="eastAsia" w:ascii="仿宋" w:hAnsi="仿宋" w:eastAsia="仿宋" w:cs="仿宋"/>
                <w:sz w:val="24"/>
                <w:lang w:val="en-US" w:eastAsia="zh-CN"/>
              </w:rPr>
              <w:t>孙彬</w:t>
            </w:r>
          </w:p>
        </w:tc>
        <w:tc>
          <w:tcPr>
            <w:tcW w:w="3505" w:type="dxa"/>
            <w:noWrap w:val="0"/>
            <w:vAlign w:val="center"/>
          </w:tcPr>
          <w:p w14:paraId="037D584E">
            <w:pPr>
              <w:jc w:val="center"/>
              <w:rPr>
                <w:rFonts w:hint="eastAsia" w:ascii="仿宋" w:hAnsi="仿宋" w:eastAsia="仿宋" w:cs="仿宋"/>
                <w:sz w:val="24"/>
                <w:lang w:val="en-US" w:eastAsia="zh-CN"/>
              </w:rPr>
            </w:pPr>
            <w:r>
              <w:rPr>
                <w:rFonts w:hint="eastAsia" w:ascii="仿宋" w:hAnsi="仿宋" w:eastAsia="仿宋" w:cs="仿宋"/>
                <w:sz w:val="24"/>
                <w:lang w:val="en-US" w:eastAsia="zh-CN"/>
              </w:rPr>
              <w:t>韩长青、</w:t>
            </w:r>
            <w:r>
              <w:rPr>
                <w:rFonts w:hint="eastAsia" w:ascii="仿宋" w:hAnsi="仿宋" w:eastAsia="仿宋" w:cs="仿宋"/>
                <w:sz w:val="24"/>
              </w:rPr>
              <w:t>赵国鹏</w:t>
            </w:r>
            <w:r>
              <w:rPr>
                <w:rFonts w:hint="eastAsia" w:ascii="仿宋" w:hAnsi="仿宋" w:eastAsia="仿宋" w:cs="仿宋"/>
                <w:sz w:val="24"/>
                <w:lang w:eastAsia="zh-CN"/>
              </w:rPr>
              <w:t>、</w:t>
            </w:r>
            <w:r>
              <w:rPr>
                <w:rFonts w:hint="eastAsia" w:ascii="仿宋" w:hAnsi="仿宋" w:eastAsia="仿宋" w:cs="仿宋"/>
                <w:sz w:val="24"/>
                <w:lang w:val="en-US" w:eastAsia="zh-CN"/>
              </w:rPr>
              <w:t>张振宇、学生处、研究生部相关科室、</w:t>
            </w:r>
          </w:p>
          <w:p w14:paraId="6FB994E1">
            <w:pPr>
              <w:jc w:val="center"/>
              <w:rPr>
                <w:rFonts w:hint="eastAsia" w:ascii="仿宋" w:hAnsi="仿宋" w:eastAsia="仿宋" w:cs="仿宋"/>
                <w:sz w:val="24"/>
                <w:lang w:val="en-US" w:eastAsia="zh-CN"/>
              </w:rPr>
            </w:pPr>
            <w:r>
              <w:rPr>
                <w:rFonts w:hint="eastAsia" w:ascii="仿宋" w:hAnsi="仿宋" w:eastAsia="仿宋" w:cs="仿宋"/>
                <w:sz w:val="24"/>
                <w:lang w:val="en-US" w:eastAsia="zh-CN"/>
              </w:rPr>
              <w:t>二级院（系）学工负责人</w:t>
            </w:r>
          </w:p>
          <w:p w14:paraId="1BACC944">
            <w:pPr>
              <w:jc w:val="center"/>
              <w:rPr>
                <w:rFonts w:hint="default" w:ascii="仿宋" w:hAnsi="仿宋" w:eastAsia="仿宋" w:cs="仿宋"/>
                <w:sz w:val="24"/>
                <w:lang w:val="en-US" w:eastAsia="zh-CN"/>
              </w:rPr>
            </w:pPr>
            <w:r>
              <w:rPr>
                <w:rFonts w:hint="eastAsia" w:ascii="仿宋" w:hAnsi="仿宋" w:eastAsia="仿宋" w:cs="仿宋"/>
                <w:sz w:val="24"/>
                <w:lang w:val="en-US" w:eastAsia="zh-CN"/>
              </w:rPr>
              <w:t>物业公司负责人</w:t>
            </w:r>
          </w:p>
        </w:tc>
        <w:tc>
          <w:tcPr>
            <w:tcW w:w="1623" w:type="dxa"/>
            <w:noWrap w:val="0"/>
            <w:vAlign w:val="center"/>
          </w:tcPr>
          <w:p w14:paraId="05E236B0">
            <w:pPr>
              <w:jc w:val="center"/>
              <w:rPr>
                <w:rFonts w:ascii="仿宋" w:hAnsi="仿宋" w:eastAsia="仿宋" w:cs="仿宋"/>
                <w:sz w:val="24"/>
              </w:rPr>
            </w:pPr>
            <w:r>
              <w:rPr>
                <w:rFonts w:hint="eastAsia" w:ascii="仿宋" w:hAnsi="仿宋" w:eastAsia="仿宋" w:cs="仿宋"/>
                <w:sz w:val="24"/>
              </w:rPr>
              <w:t>太</w:t>
            </w:r>
            <w:r>
              <w:rPr>
                <w:rFonts w:hint="eastAsia" w:ascii="仿宋" w:hAnsi="仿宋" w:eastAsia="仿宋" w:cs="仿宋"/>
                <w:sz w:val="24"/>
                <w:lang w:val="en-US" w:eastAsia="zh-CN"/>
              </w:rPr>
              <w:t xml:space="preserve"> </w:t>
            </w:r>
            <w:r>
              <w:rPr>
                <w:rFonts w:hint="eastAsia" w:ascii="仿宋" w:hAnsi="仿宋" w:eastAsia="仿宋" w:cs="仿宋"/>
                <w:sz w:val="24"/>
              </w:rPr>
              <w:t>飞</w:t>
            </w:r>
          </w:p>
          <w:p w14:paraId="342BF573">
            <w:pPr>
              <w:jc w:val="center"/>
              <w:rPr>
                <w:rFonts w:hint="default" w:ascii="仿宋" w:hAnsi="仿宋" w:eastAsia="仿宋" w:cs="仿宋"/>
                <w:sz w:val="24"/>
                <w:lang w:val="en-US"/>
              </w:rPr>
            </w:pPr>
            <w:r>
              <w:rPr>
                <w:rFonts w:hint="eastAsia" w:ascii="仿宋" w:hAnsi="仿宋" w:eastAsia="仿宋" w:cs="仿宋"/>
                <w:sz w:val="24"/>
              </w:rPr>
              <w:t>18603133058</w:t>
            </w:r>
          </w:p>
        </w:tc>
        <w:tc>
          <w:tcPr>
            <w:tcW w:w="2697" w:type="dxa"/>
            <w:noWrap w:val="0"/>
            <w:vAlign w:val="center"/>
          </w:tcPr>
          <w:p w14:paraId="5290FDB6">
            <w:pPr>
              <w:jc w:val="center"/>
              <w:rPr>
                <w:rFonts w:hint="default" w:ascii="仿宋" w:hAnsi="仿宋" w:eastAsia="仿宋" w:cs="仿宋"/>
                <w:sz w:val="24"/>
                <w:lang w:val="en-US" w:eastAsia="zh-CN"/>
              </w:rPr>
            </w:pPr>
            <w:r>
              <w:rPr>
                <w:rFonts w:hint="eastAsia" w:ascii="仿宋" w:hAnsi="仿宋" w:eastAsia="仿宋" w:cs="仿宋"/>
                <w:sz w:val="24"/>
                <w:lang w:val="en-US" w:eastAsia="zh-CN"/>
              </w:rPr>
              <w:t>宿舍楼及公共区域</w:t>
            </w:r>
          </w:p>
        </w:tc>
      </w:tr>
      <w:tr w14:paraId="1DEC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jc w:val="center"/>
        </w:trPr>
        <w:tc>
          <w:tcPr>
            <w:tcW w:w="660" w:type="dxa"/>
            <w:noWrap w:val="0"/>
            <w:vAlign w:val="center"/>
          </w:tcPr>
          <w:p w14:paraId="30805AE2">
            <w:pPr>
              <w:jc w:val="center"/>
              <w:rPr>
                <w:rFonts w:ascii="仿宋" w:hAnsi="仿宋" w:eastAsia="仿宋" w:cs="仿宋"/>
                <w:sz w:val="24"/>
              </w:rPr>
            </w:pPr>
            <w:r>
              <w:rPr>
                <w:rFonts w:hint="eastAsia" w:ascii="仿宋" w:hAnsi="仿宋" w:eastAsia="仿宋" w:cs="仿宋"/>
                <w:sz w:val="24"/>
              </w:rPr>
              <w:t>第</w:t>
            </w:r>
          </w:p>
          <w:p w14:paraId="7BAA4F2F">
            <w:pPr>
              <w:jc w:val="center"/>
              <w:rPr>
                <w:rFonts w:hint="eastAsia" w:ascii="仿宋" w:hAnsi="仿宋" w:eastAsia="仿宋" w:cs="仿宋"/>
                <w:sz w:val="24"/>
                <w:lang w:val="en-US" w:eastAsia="zh-CN"/>
              </w:rPr>
            </w:pPr>
            <w:r>
              <w:rPr>
                <w:rFonts w:hint="eastAsia" w:ascii="仿宋" w:hAnsi="仿宋" w:eastAsia="仿宋" w:cs="仿宋"/>
                <w:sz w:val="24"/>
                <w:lang w:val="en-US" w:eastAsia="zh-CN"/>
              </w:rPr>
              <w:t>四</w:t>
            </w:r>
            <w:r>
              <w:rPr>
                <w:rFonts w:hint="eastAsia" w:ascii="仿宋" w:hAnsi="仿宋" w:eastAsia="仿宋" w:cs="仿宋"/>
                <w:sz w:val="24"/>
              </w:rPr>
              <w:t>组</w:t>
            </w:r>
          </w:p>
        </w:tc>
        <w:tc>
          <w:tcPr>
            <w:tcW w:w="1188" w:type="dxa"/>
            <w:noWrap w:val="0"/>
            <w:vAlign w:val="center"/>
          </w:tcPr>
          <w:p w14:paraId="5FFFB5D2">
            <w:pPr>
              <w:jc w:val="center"/>
              <w:rPr>
                <w:rFonts w:hint="eastAsia" w:ascii="仿宋" w:hAnsi="仿宋" w:eastAsia="仿宋" w:cs="仿宋"/>
                <w:sz w:val="24"/>
                <w:lang w:val="en-US" w:eastAsia="zh-CN"/>
              </w:rPr>
            </w:pPr>
            <w:r>
              <w:rPr>
                <w:rFonts w:hint="eastAsia" w:ascii="仿宋" w:hAnsi="仿宋" w:eastAsia="仿宋" w:cs="仿宋"/>
                <w:sz w:val="24"/>
                <w:lang w:val="en-US" w:eastAsia="zh-CN"/>
              </w:rPr>
              <w:t>胡金江</w:t>
            </w:r>
          </w:p>
        </w:tc>
        <w:tc>
          <w:tcPr>
            <w:tcW w:w="3505" w:type="dxa"/>
            <w:noWrap w:val="0"/>
            <w:vAlign w:val="center"/>
          </w:tcPr>
          <w:p w14:paraId="5D2375A6">
            <w:pPr>
              <w:jc w:val="center"/>
              <w:rPr>
                <w:rFonts w:hint="default" w:ascii="仿宋" w:hAnsi="仿宋" w:eastAsia="仿宋" w:cs="仿宋"/>
                <w:sz w:val="24"/>
                <w:lang w:val="en-US" w:eastAsia="zh-CN"/>
              </w:rPr>
            </w:pPr>
            <w:r>
              <w:rPr>
                <w:rFonts w:hint="eastAsia" w:ascii="仿宋" w:hAnsi="仿宋" w:eastAsia="仿宋" w:cs="仿宋"/>
                <w:sz w:val="24"/>
                <w:lang w:val="en-US" w:eastAsia="zh-CN"/>
              </w:rPr>
              <w:t>李晓斌、高尚武、杨厚珠</w:t>
            </w:r>
          </w:p>
        </w:tc>
        <w:tc>
          <w:tcPr>
            <w:tcW w:w="1623" w:type="dxa"/>
            <w:noWrap w:val="0"/>
            <w:vAlign w:val="center"/>
          </w:tcPr>
          <w:p w14:paraId="7A704682">
            <w:pPr>
              <w:jc w:val="center"/>
              <w:rPr>
                <w:rFonts w:hint="eastAsia" w:ascii="仿宋" w:hAnsi="仿宋" w:eastAsia="仿宋" w:cs="仿宋"/>
                <w:sz w:val="24"/>
                <w:lang w:val="en-US" w:eastAsia="zh-CN"/>
              </w:rPr>
            </w:pPr>
            <w:r>
              <w:rPr>
                <w:rFonts w:hint="eastAsia" w:ascii="仿宋" w:hAnsi="仿宋" w:eastAsia="仿宋" w:cs="仿宋"/>
                <w:sz w:val="24"/>
                <w:lang w:val="en-US" w:eastAsia="zh-CN"/>
              </w:rPr>
              <w:t>赵一峰</w:t>
            </w:r>
          </w:p>
          <w:p w14:paraId="055BFE0F">
            <w:pPr>
              <w:jc w:val="center"/>
              <w:rPr>
                <w:rFonts w:hint="default" w:ascii="仿宋" w:hAnsi="仿宋" w:eastAsia="仿宋" w:cs="仿宋"/>
                <w:sz w:val="24"/>
                <w:lang w:val="en-US" w:eastAsia="zh-CN"/>
              </w:rPr>
            </w:pPr>
            <w:r>
              <w:rPr>
                <w:rFonts w:hint="eastAsia" w:ascii="仿宋" w:hAnsi="仿宋" w:eastAsia="仿宋" w:cs="仿宋"/>
                <w:sz w:val="24"/>
                <w:lang w:val="en-US" w:eastAsia="zh-CN"/>
              </w:rPr>
              <w:t>18631356525</w:t>
            </w:r>
          </w:p>
        </w:tc>
        <w:tc>
          <w:tcPr>
            <w:tcW w:w="2697" w:type="dxa"/>
            <w:noWrap w:val="0"/>
            <w:vAlign w:val="center"/>
          </w:tcPr>
          <w:p w14:paraId="44788361">
            <w:pPr>
              <w:jc w:val="center"/>
              <w:rPr>
                <w:rFonts w:hint="eastAsia" w:ascii="仿宋" w:hAnsi="仿宋" w:eastAsia="仿宋" w:cs="仿宋"/>
                <w:sz w:val="24"/>
                <w:lang w:val="en-US" w:eastAsia="zh-CN"/>
              </w:rPr>
            </w:pPr>
            <w:r>
              <w:rPr>
                <w:rFonts w:hint="eastAsia" w:ascii="仿宋" w:hAnsi="仿宋" w:eastAsia="仿宋" w:cs="仿宋"/>
                <w:sz w:val="24"/>
                <w:lang w:val="en-US" w:eastAsia="zh-CN"/>
              </w:rPr>
              <w:t>食堂、浴室、服务楼、快递中心及其公共区域</w:t>
            </w:r>
          </w:p>
        </w:tc>
      </w:tr>
      <w:tr w14:paraId="5599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jc w:val="center"/>
        </w:trPr>
        <w:tc>
          <w:tcPr>
            <w:tcW w:w="660" w:type="dxa"/>
            <w:noWrap w:val="0"/>
            <w:vAlign w:val="center"/>
          </w:tcPr>
          <w:p w14:paraId="7AAD6FD8">
            <w:pPr>
              <w:jc w:val="center"/>
              <w:rPr>
                <w:rFonts w:ascii="仿宋" w:hAnsi="仿宋" w:eastAsia="仿宋" w:cs="仿宋"/>
                <w:sz w:val="24"/>
              </w:rPr>
            </w:pPr>
            <w:r>
              <w:rPr>
                <w:rFonts w:hint="eastAsia" w:ascii="仿宋" w:hAnsi="仿宋" w:eastAsia="仿宋" w:cs="仿宋"/>
                <w:sz w:val="24"/>
              </w:rPr>
              <w:t>第</w:t>
            </w:r>
          </w:p>
          <w:p w14:paraId="2A1721C1">
            <w:pPr>
              <w:jc w:val="center"/>
              <w:rPr>
                <w:rFonts w:ascii="仿宋" w:hAnsi="仿宋" w:eastAsia="仿宋" w:cs="仿宋"/>
                <w:sz w:val="24"/>
              </w:rPr>
            </w:pPr>
            <w:r>
              <w:rPr>
                <w:rFonts w:hint="eastAsia" w:ascii="仿宋" w:hAnsi="仿宋" w:eastAsia="仿宋" w:cs="仿宋"/>
                <w:sz w:val="24"/>
                <w:lang w:val="en-US" w:eastAsia="zh-CN"/>
              </w:rPr>
              <w:t>五</w:t>
            </w:r>
            <w:r>
              <w:rPr>
                <w:rFonts w:hint="eastAsia" w:ascii="仿宋" w:hAnsi="仿宋" w:eastAsia="仿宋" w:cs="仿宋"/>
                <w:sz w:val="24"/>
              </w:rPr>
              <w:t>组</w:t>
            </w:r>
          </w:p>
        </w:tc>
        <w:tc>
          <w:tcPr>
            <w:tcW w:w="1188" w:type="dxa"/>
            <w:noWrap w:val="0"/>
            <w:vAlign w:val="center"/>
          </w:tcPr>
          <w:p w14:paraId="15D74BEB">
            <w:pPr>
              <w:jc w:val="center"/>
              <w:rPr>
                <w:rFonts w:hint="eastAsia" w:ascii="仿宋" w:hAnsi="仿宋" w:eastAsia="仿宋" w:cs="仿宋"/>
                <w:sz w:val="24"/>
                <w:lang w:eastAsia="zh-CN"/>
              </w:rPr>
            </w:pPr>
            <w:r>
              <w:rPr>
                <w:rFonts w:hint="eastAsia" w:ascii="仿宋" w:hAnsi="仿宋" w:eastAsia="仿宋" w:cs="仿宋"/>
                <w:sz w:val="24"/>
                <w:lang w:val="en-US" w:eastAsia="zh-CN"/>
              </w:rPr>
              <w:t>张文山</w:t>
            </w:r>
          </w:p>
        </w:tc>
        <w:tc>
          <w:tcPr>
            <w:tcW w:w="3505" w:type="dxa"/>
            <w:noWrap w:val="0"/>
            <w:vAlign w:val="center"/>
          </w:tcPr>
          <w:p w14:paraId="00F42A6E">
            <w:pPr>
              <w:jc w:val="center"/>
              <w:rPr>
                <w:rFonts w:hint="eastAsia" w:ascii="仿宋" w:hAnsi="仿宋" w:eastAsia="仿宋" w:cs="仿宋"/>
                <w:sz w:val="24"/>
                <w:lang w:val="en-US" w:eastAsia="zh-CN"/>
              </w:rPr>
            </w:pPr>
            <w:r>
              <w:rPr>
                <w:rFonts w:hint="eastAsia" w:ascii="仿宋" w:hAnsi="仿宋" w:eastAsia="仿宋" w:cs="仿宋"/>
                <w:sz w:val="24"/>
                <w:lang w:val="en-US" w:eastAsia="zh-CN"/>
              </w:rPr>
              <w:t>石刚、</w:t>
            </w:r>
            <w:r>
              <w:rPr>
                <w:rFonts w:hint="eastAsia" w:ascii="仿宋" w:hAnsi="仿宋" w:eastAsia="仿宋" w:cs="仿宋"/>
                <w:sz w:val="24"/>
              </w:rPr>
              <w:t>梅生海</w:t>
            </w:r>
            <w:r>
              <w:rPr>
                <w:rFonts w:hint="eastAsia" w:ascii="仿宋" w:hAnsi="仿宋" w:eastAsia="仿宋" w:cs="仿宋"/>
                <w:sz w:val="24"/>
                <w:lang w:val="en-US" w:eastAsia="zh-CN"/>
              </w:rPr>
              <w:t>、张胤桐、</w:t>
            </w:r>
          </w:p>
          <w:p w14:paraId="29345BCA">
            <w:pPr>
              <w:jc w:val="center"/>
              <w:rPr>
                <w:rFonts w:hint="default" w:ascii="仿宋" w:hAnsi="仿宋" w:eastAsia="仿宋" w:cs="仿宋"/>
                <w:kern w:val="2"/>
                <w:sz w:val="24"/>
                <w:szCs w:val="24"/>
                <w:lang w:val="en-US" w:eastAsia="zh-CN" w:bidi="ar-SA"/>
              </w:rPr>
            </w:pPr>
            <w:r>
              <w:rPr>
                <w:rFonts w:hint="eastAsia" w:ascii="仿宋" w:hAnsi="仿宋" w:eastAsia="仿宋" w:cs="仿宋"/>
                <w:sz w:val="24"/>
                <w:lang w:val="en-US" w:eastAsia="zh-CN"/>
              </w:rPr>
              <w:t>保安公司负责人</w:t>
            </w:r>
          </w:p>
        </w:tc>
        <w:tc>
          <w:tcPr>
            <w:tcW w:w="1623" w:type="dxa"/>
            <w:noWrap w:val="0"/>
            <w:vAlign w:val="center"/>
          </w:tcPr>
          <w:p w14:paraId="23DFAEB0">
            <w:pPr>
              <w:jc w:val="center"/>
              <w:rPr>
                <w:rFonts w:hint="eastAsia" w:ascii="仿宋" w:hAnsi="仿宋" w:eastAsia="仿宋" w:cs="仿宋"/>
                <w:sz w:val="24"/>
                <w:lang w:val="en-US" w:eastAsia="zh-CN"/>
              </w:rPr>
            </w:pPr>
            <w:r>
              <w:rPr>
                <w:rFonts w:hint="eastAsia" w:ascii="仿宋" w:hAnsi="仿宋" w:eastAsia="仿宋" w:cs="仿宋"/>
                <w:sz w:val="24"/>
                <w:lang w:val="en-US" w:eastAsia="zh-CN"/>
              </w:rPr>
              <w:t>梁昱升</w:t>
            </w:r>
          </w:p>
          <w:p w14:paraId="3BFFE5C4">
            <w:pPr>
              <w:jc w:val="center"/>
              <w:rPr>
                <w:rFonts w:hint="default" w:ascii="仿宋" w:hAnsi="仿宋" w:eastAsia="仿宋" w:cs="仿宋"/>
                <w:sz w:val="24"/>
                <w:lang w:val="en-US" w:eastAsia="zh-CN"/>
              </w:rPr>
            </w:pPr>
            <w:r>
              <w:rPr>
                <w:rFonts w:hint="eastAsia" w:ascii="仿宋" w:hAnsi="仿宋" w:eastAsia="仿宋" w:cs="仿宋"/>
                <w:sz w:val="24"/>
                <w:lang w:val="en-US" w:eastAsia="zh-CN"/>
              </w:rPr>
              <w:t>15297311868</w:t>
            </w:r>
          </w:p>
          <w:p w14:paraId="7DD20F03">
            <w:pPr>
              <w:pStyle w:val="2"/>
              <w:rPr>
                <w:rFonts w:hint="default"/>
                <w:lang w:val="en-US"/>
              </w:rPr>
            </w:pPr>
          </w:p>
        </w:tc>
        <w:tc>
          <w:tcPr>
            <w:tcW w:w="2697" w:type="dxa"/>
            <w:noWrap w:val="0"/>
            <w:vAlign w:val="center"/>
          </w:tcPr>
          <w:p w14:paraId="7427249A">
            <w:pPr>
              <w:jc w:val="center"/>
              <w:rPr>
                <w:rFonts w:hint="eastAsia" w:ascii="仿宋" w:hAnsi="仿宋" w:eastAsia="仿宋" w:cs="仿宋"/>
                <w:sz w:val="24"/>
                <w:lang w:val="en-US" w:eastAsia="zh-CN"/>
              </w:rPr>
            </w:pPr>
            <w:r>
              <w:rPr>
                <w:rFonts w:hint="eastAsia" w:ascii="仿宋" w:hAnsi="仿宋" w:eastAsia="仿宋" w:cs="仿宋"/>
                <w:sz w:val="24"/>
                <w:lang w:val="en-US" w:eastAsia="zh-CN"/>
              </w:rPr>
              <w:t>“三防”建设情况、锅炉房及变配电室、能源管控中心、中水站设施设备、西操场、自建房及相关公共区域、</w:t>
            </w:r>
          </w:p>
          <w:p w14:paraId="0737AA1B">
            <w:pPr>
              <w:jc w:val="center"/>
              <w:rPr>
                <w:rFonts w:hint="default" w:ascii="仿宋" w:hAnsi="仿宋" w:eastAsia="仿宋" w:cs="仿宋"/>
                <w:sz w:val="24"/>
                <w:lang w:val="en-US" w:eastAsia="zh-CN"/>
              </w:rPr>
            </w:pPr>
            <w:r>
              <w:rPr>
                <w:rFonts w:hint="eastAsia" w:ascii="仿宋" w:hAnsi="仿宋" w:eastAsia="仿宋" w:cs="仿宋"/>
                <w:sz w:val="24"/>
                <w:lang w:val="en-US" w:eastAsia="zh-CN"/>
              </w:rPr>
              <w:t>校园周边安全、建国校区办公楼、林园路校区公产房及实习工厂</w:t>
            </w:r>
          </w:p>
        </w:tc>
      </w:tr>
    </w:tbl>
    <w:p w14:paraId="0391E3E8">
      <w:pPr>
        <w:keepNext w:val="0"/>
        <w:keepLines w:val="0"/>
        <w:pageBreakBefore w:val="0"/>
        <w:widowControl w:val="0"/>
        <w:kinsoku/>
        <w:wordWrap/>
        <w:overflowPunct/>
        <w:topLinePunct w:val="0"/>
        <w:autoSpaceDE/>
        <w:autoSpaceDN/>
        <w:bidi w:val="0"/>
        <w:adjustRightInd/>
        <w:snapToGrid/>
        <w:spacing w:line="480" w:lineRule="exact"/>
        <w:ind w:left="490" w:leftChars="100" w:hanging="280" w:hangingChars="1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1.安全隐患专项排查整治暨反诈工作学校联查于</w:t>
      </w:r>
      <w:r>
        <w:rPr>
          <w:rFonts w:hint="eastAsia" w:ascii="仿宋_GB2312" w:hAnsi="仿宋_GB2312" w:eastAsia="仿宋_GB2312" w:cs="仿宋_GB2312"/>
          <w:sz w:val="28"/>
          <w:szCs w:val="28"/>
        </w:rPr>
        <w:t>202</w:t>
      </w:r>
      <w:r>
        <w:rPr>
          <w:rFonts w:hint="eastAsia" w:ascii="仿宋_GB2312" w:hAnsi="仿宋_GB2312" w:eastAsia="仿宋_GB2312" w:cs="仿宋_GB2312"/>
          <w:sz w:val="28"/>
          <w:szCs w:val="28"/>
          <w:lang w:val="en-US" w:eastAsia="zh-CN"/>
        </w:rPr>
        <w:t>5</w:t>
      </w:r>
      <w:r>
        <w:rPr>
          <w:rFonts w:hint="eastAsia" w:ascii="仿宋_GB2312" w:hAnsi="仿宋_GB2312" w:eastAsia="仿宋_GB2312" w:cs="仿宋_GB2312"/>
          <w:sz w:val="28"/>
          <w:szCs w:val="28"/>
        </w:rPr>
        <w:t>年</w:t>
      </w:r>
      <w:r>
        <w:rPr>
          <w:rFonts w:hint="eastAsia" w:ascii="仿宋_GB2312" w:hAnsi="仿宋_GB2312" w:eastAsia="仿宋_GB2312" w:cs="仿宋_GB2312"/>
          <w:sz w:val="28"/>
          <w:szCs w:val="28"/>
          <w:lang w:val="en-US" w:eastAsia="zh-CN"/>
        </w:rPr>
        <w:t>12</w:t>
      </w:r>
      <w:r>
        <w:rPr>
          <w:rFonts w:hint="eastAsia" w:ascii="仿宋_GB2312" w:hAnsi="仿宋_GB2312" w:eastAsia="仿宋_GB2312" w:cs="仿宋_GB2312"/>
          <w:sz w:val="28"/>
          <w:szCs w:val="28"/>
        </w:rPr>
        <w:t>月</w:t>
      </w:r>
      <w:r>
        <w:rPr>
          <w:rFonts w:hint="eastAsia" w:ascii="仿宋_GB2312" w:hAnsi="仿宋_GB2312" w:eastAsia="仿宋_GB2312" w:cs="仿宋_GB2312"/>
          <w:sz w:val="28"/>
          <w:szCs w:val="28"/>
          <w:lang w:val="en-US" w:eastAsia="zh-CN"/>
        </w:rPr>
        <w:t>12</w:t>
      </w:r>
      <w:r>
        <w:rPr>
          <w:rFonts w:hint="eastAsia" w:ascii="仿宋_GB2312" w:hAnsi="仿宋_GB2312" w:eastAsia="仿宋_GB2312" w:cs="仿宋_GB2312"/>
          <w:sz w:val="28"/>
          <w:szCs w:val="28"/>
        </w:rPr>
        <w:t>日</w:t>
      </w:r>
      <w:r>
        <w:rPr>
          <w:rFonts w:hint="eastAsia" w:ascii="仿宋_GB2312" w:hAnsi="仿宋_GB2312" w:eastAsia="仿宋_GB2312" w:cs="仿宋_GB2312"/>
          <w:sz w:val="28"/>
          <w:szCs w:val="28"/>
          <w:lang w:val="en-US" w:eastAsia="zh-CN"/>
        </w:rPr>
        <w:t>15:0</w:t>
      </w:r>
      <w:r>
        <w:rPr>
          <w:rFonts w:hint="eastAsia" w:ascii="仿宋_GB2312" w:hAnsi="仿宋_GB2312" w:eastAsia="仿宋_GB2312" w:cs="仿宋_GB2312"/>
          <w:sz w:val="28"/>
          <w:szCs w:val="28"/>
        </w:rPr>
        <w:t>0开始。</w:t>
      </w:r>
    </w:p>
    <w:p w14:paraId="0B1CE85C">
      <w:pPr>
        <w:keepNext w:val="0"/>
        <w:keepLines w:val="0"/>
        <w:pageBreakBefore w:val="0"/>
        <w:widowControl w:val="0"/>
        <w:kinsoku/>
        <w:wordWrap/>
        <w:overflowPunct/>
        <w:topLinePunct w:val="0"/>
        <w:autoSpaceDE/>
        <w:autoSpaceDN/>
        <w:bidi w:val="0"/>
        <w:adjustRightInd/>
        <w:snapToGrid/>
        <w:spacing w:line="480" w:lineRule="exact"/>
        <w:ind w:left="490" w:leftChars="100" w:hanging="280" w:hangingChars="1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rPr>
        <w:t>各小组联络员准备检查记录表等相关用品，与组长确定集合时间和地点，并及时在“建院安全工作群”QQ群通知其他成员。</w:t>
      </w:r>
    </w:p>
    <w:p w14:paraId="342C4FAF">
      <w:pPr>
        <w:keepNext w:val="0"/>
        <w:keepLines w:val="0"/>
        <w:pageBreakBefore w:val="0"/>
        <w:widowControl w:val="0"/>
        <w:kinsoku/>
        <w:wordWrap/>
        <w:overflowPunct/>
        <w:topLinePunct w:val="0"/>
        <w:autoSpaceDE/>
        <w:autoSpaceDN/>
        <w:bidi w:val="0"/>
        <w:adjustRightInd/>
        <w:snapToGrid/>
        <w:spacing w:line="480" w:lineRule="exact"/>
        <w:ind w:left="490" w:leftChars="100" w:hanging="280" w:hangingChars="100"/>
        <w:textAlignment w:val="auto"/>
        <w:rPr>
          <w:rFonts w:hint="eastAsia" w:ascii="仿宋_GB2312" w:hAnsi="仿宋_GB2312" w:eastAsia="仿宋_GB2312" w:cs="仿宋_GB2312"/>
          <w:color w:val="auto"/>
          <w:kern w:val="10"/>
          <w:position w:val="-2"/>
          <w:sz w:val="32"/>
          <w:szCs w:val="32"/>
          <w:lang w:val="en-US" w:eastAsia="zh-CN"/>
        </w:rPr>
      </w:pP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rPr>
        <w:t>各小组联络员提前到崇德楼A1</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lang w:eastAsia="zh-CN"/>
        </w:rPr>
        <w:t>0</w:t>
      </w:r>
      <w:r>
        <w:rPr>
          <w:rFonts w:hint="eastAsia" w:ascii="仿宋_GB2312" w:hAnsi="仿宋_GB2312" w:eastAsia="仿宋_GB2312" w:cs="仿宋_GB2312"/>
          <w:sz w:val="28"/>
          <w:szCs w:val="28"/>
        </w:rPr>
        <w:t>室领取检查工作证，检查完请将检查工作证交回。</w:t>
      </w:r>
      <w:r>
        <w:rPr>
          <w:rFonts w:hint="eastAsia" w:ascii="仿宋_GB2312" w:hAnsi="仿宋_GB2312" w:eastAsia="仿宋_GB2312" w:cs="仿宋_GB2312"/>
          <w:color w:val="auto"/>
          <w:kern w:val="10"/>
          <w:position w:val="-2"/>
          <w:sz w:val="32"/>
          <w:szCs w:val="32"/>
          <w:lang w:val="en-US" w:eastAsia="zh-CN"/>
        </w:rPr>
        <w:t xml:space="preserve">   </w:t>
      </w:r>
    </w:p>
    <w:p w14:paraId="4C81D66C">
      <w:pPr>
        <w:keepNext w:val="0"/>
        <w:keepLines w:val="0"/>
        <w:pageBreakBefore w:val="0"/>
        <w:widowControl w:val="0"/>
        <w:kinsoku/>
        <w:wordWrap/>
        <w:overflowPunct/>
        <w:topLinePunct w:val="0"/>
        <w:autoSpaceDE/>
        <w:autoSpaceDN/>
        <w:bidi w:val="0"/>
        <w:adjustRightInd w:val="0"/>
        <w:snapToGrid w:val="0"/>
        <w:spacing w:line="480" w:lineRule="exact"/>
        <w:ind w:right="0" w:rightChars="0" w:firstLine="640" w:firstLineChars="200"/>
        <w:jc w:val="right"/>
        <w:textAlignment w:val="auto"/>
        <w:outlineLvl w:val="9"/>
        <w:rPr>
          <w:rFonts w:hint="eastAsia" w:ascii="仿宋" w:hAnsi="仿宋" w:eastAsia="仿宋"/>
          <w:color w:val="auto"/>
          <w:kern w:val="10"/>
          <w:position w:val="-2"/>
          <w:sz w:val="32"/>
          <w:szCs w:val="32"/>
          <w:lang w:val="en-US" w:eastAsia="zh-CN"/>
        </w:rPr>
        <w:sectPr>
          <w:footerReference r:id="rId3" w:type="default"/>
          <w:pgSz w:w="11906" w:h="16838"/>
          <w:pgMar w:top="2098" w:right="1474" w:bottom="1984" w:left="1587" w:header="851" w:footer="992" w:gutter="0"/>
          <w:pgBorders>
            <w:top w:val="none" w:sz="0" w:space="0"/>
            <w:left w:val="none" w:sz="0" w:space="0"/>
            <w:bottom w:val="none" w:sz="0" w:space="0"/>
            <w:right w:val="none" w:sz="0" w:space="0"/>
          </w:pgBorders>
          <w:pgNumType w:fmt="decimal"/>
          <w:cols w:space="720" w:num="1"/>
          <w:rtlGutter w:val="0"/>
          <w:docGrid w:type="lines" w:linePitch="312" w:charSpace="0"/>
        </w:sectPr>
      </w:pPr>
    </w:p>
    <w:p w14:paraId="7C082EA0">
      <w:pPr>
        <w:keepNext w:val="0"/>
        <w:keepLines w:val="0"/>
        <w:pageBreakBefore w:val="0"/>
        <w:widowControl w:val="0"/>
        <w:kinsoku/>
        <w:wordWrap/>
        <w:overflowPunct/>
        <w:topLinePunct w:val="0"/>
        <w:bidi w:val="0"/>
        <w:adjustRightInd w:val="0"/>
        <w:snapToGrid w:val="0"/>
        <w:spacing w:line="560" w:lineRule="exact"/>
        <w:ind w:left="0" w:leftChars="0" w:right="0" w:rightChars="0"/>
        <w:jc w:val="both"/>
        <w:textAlignment w:val="auto"/>
        <w:rPr>
          <w:rFonts w:hint="eastAsia" w:ascii="黑体" w:hAnsi="黑体" w:eastAsia="黑体" w:cs="黑体"/>
          <w:b w:val="0"/>
          <w:bCs/>
          <w:color w:val="auto"/>
          <w:sz w:val="32"/>
          <w:szCs w:val="32"/>
          <w:lang w:val="en-US" w:eastAsia="zh-CN"/>
        </w:rPr>
      </w:pPr>
      <w:r>
        <w:rPr>
          <w:rFonts w:hint="eastAsia" w:ascii="黑体" w:hAnsi="黑体" w:eastAsia="黑体" w:cs="黑体"/>
          <w:b w:val="0"/>
          <w:bCs/>
          <w:color w:val="auto"/>
          <w:sz w:val="32"/>
          <w:szCs w:val="32"/>
          <w:lang w:val="en-US" w:eastAsia="zh-CN"/>
        </w:rPr>
        <w:t>附件2</w:t>
      </w:r>
    </w:p>
    <w:p w14:paraId="7E25846C">
      <w:pPr>
        <w:ind w:firstLine="560"/>
        <w:jc w:val="center"/>
        <w:rPr>
          <w:rFonts w:hint="default" w:ascii="楷体" w:hAnsi="楷体" w:eastAsia="楷体" w:cs="楷体"/>
          <w:b w:val="0"/>
          <w:bCs/>
          <w:color w:val="auto"/>
          <w:kern w:val="0"/>
          <w:sz w:val="28"/>
          <w:szCs w:val="28"/>
          <w:u w:val="single"/>
          <w:lang w:val="en-US" w:eastAsia="zh-CN"/>
        </w:rPr>
      </w:pPr>
      <w:r>
        <w:rPr>
          <w:rFonts w:hint="eastAsia" w:ascii="宋体" w:hAnsi="宋体" w:eastAsia="宋体" w:cs="Times New Roman"/>
          <w:b/>
          <w:sz w:val="36"/>
          <w:szCs w:val="36"/>
          <w:lang w:val="en-US" w:eastAsia="zh-CN"/>
        </w:rPr>
        <w:t>学校安全隐患大排查大整治</w:t>
      </w:r>
      <w:r>
        <w:rPr>
          <w:rFonts w:hint="eastAsia" w:ascii="宋体" w:hAnsi="宋体" w:cs="Times New Roman"/>
          <w:b/>
          <w:sz w:val="36"/>
          <w:szCs w:val="36"/>
          <w:lang w:val="en-US" w:eastAsia="zh-CN"/>
        </w:rPr>
        <w:t>暨反诈工作</w:t>
      </w:r>
      <w:r>
        <w:rPr>
          <w:rFonts w:hint="eastAsia" w:ascii="宋体" w:hAnsi="宋体" w:eastAsia="宋体" w:cs="Times New Roman"/>
          <w:b/>
          <w:sz w:val="36"/>
          <w:szCs w:val="36"/>
          <w:lang w:val="en-US" w:eastAsia="zh-CN"/>
        </w:rPr>
        <w:t>内容</w:t>
      </w:r>
      <w:r>
        <w:rPr>
          <w:rFonts w:hint="eastAsia" w:ascii="宋体" w:hAnsi="宋体" w:cs="Times New Roman"/>
          <w:b/>
          <w:sz w:val="36"/>
          <w:szCs w:val="36"/>
          <w:lang w:val="en-US" w:eastAsia="zh-CN"/>
        </w:rPr>
        <w:t>及分工</w:t>
      </w:r>
      <w:r>
        <w:rPr>
          <w:rFonts w:hint="eastAsia" w:ascii="楷体" w:hAnsi="楷体" w:eastAsia="楷体" w:cs="楷体"/>
          <w:b w:val="0"/>
          <w:bCs/>
          <w:color w:val="auto"/>
          <w:kern w:val="0"/>
          <w:sz w:val="28"/>
          <w:szCs w:val="28"/>
          <w:lang w:val="en-US" w:eastAsia="zh-CN"/>
        </w:rPr>
        <w:t xml:space="preserve">                                         </w:t>
      </w:r>
    </w:p>
    <w:p w14:paraId="02CE6277">
      <w:pPr>
        <w:keepNext w:val="0"/>
        <w:keepLines w:val="0"/>
        <w:pageBreakBefore w:val="0"/>
        <w:widowControl/>
        <w:suppressLineNumbers w:val="0"/>
        <w:kinsoku/>
        <w:wordWrap/>
        <w:overflowPunct/>
        <w:topLinePunct w:val="0"/>
        <w:autoSpaceDE/>
        <w:autoSpaceDN/>
        <w:bidi w:val="0"/>
        <w:spacing w:line="260" w:lineRule="exact"/>
        <w:jc w:val="center"/>
        <w:textAlignment w:val="center"/>
        <w:rPr>
          <w:rFonts w:hint="eastAsia" w:ascii="黑体" w:hAnsi="宋体" w:eastAsia="黑体" w:cs="黑体"/>
          <w:i w:val="0"/>
          <w:iCs w:val="0"/>
          <w:color w:val="000000"/>
          <w:kern w:val="0"/>
          <w:sz w:val="24"/>
          <w:szCs w:val="24"/>
          <w:u w:val="none"/>
          <w:lang w:val="en-US" w:eastAsia="zh-CN" w:bidi="ar"/>
        </w:rPr>
      </w:pPr>
    </w:p>
    <w:tbl>
      <w:tblPr>
        <w:tblStyle w:val="5"/>
        <w:tblW w:w="13767"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2"/>
        <w:gridCol w:w="727"/>
        <w:gridCol w:w="5228"/>
        <w:gridCol w:w="3975"/>
        <w:gridCol w:w="1725"/>
      </w:tblGrid>
      <w:tr w14:paraId="3C37B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blHeader/>
        </w:trPr>
        <w:tc>
          <w:tcPr>
            <w:tcW w:w="2112" w:type="dxa"/>
            <w:tcBorders>
              <w:top w:val="single" w:color="000000" w:sz="4" w:space="0"/>
              <w:left w:val="single" w:color="000000" w:sz="4" w:space="0"/>
              <w:bottom w:val="single" w:color="000000" w:sz="4" w:space="0"/>
              <w:right w:val="single" w:color="000000" w:sz="4" w:space="0"/>
            </w:tcBorders>
            <w:noWrap w:val="0"/>
            <w:vAlign w:val="center"/>
          </w:tcPr>
          <w:p w14:paraId="0E3B3FC8">
            <w:pPr>
              <w:keepNext w:val="0"/>
              <w:keepLines w:val="0"/>
              <w:widowControl/>
              <w:suppressLineNumbers w:val="0"/>
              <w:jc w:val="center"/>
              <w:textAlignment w:val="center"/>
              <w:rPr>
                <w:rFonts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排查内容</w:t>
            </w:r>
          </w:p>
        </w:tc>
        <w:tc>
          <w:tcPr>
            <w:tcW w:w="727" w:type="dxa"/>
            <w:tcBorders>
              <w:top w:val="single" w:color="000000" w:sz="4" w:space="0"/>
              <w:left w:val="single" w:color="000000" w:sz="4" w:space="0"/>
              <w:bottom w:val="single" w:color="000000" w:sz="4" w:space="0"/>
              <w:right w:val="single" w:color="000000" w:sz="4" w:space="0"/>
            </w:tcBorders>
            <w:noWrap w:val="0"/>
            <w:vAlign w:val="center"/>
          </w:tcPr>
          <w:p w14:paraId="1F56B7BA">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序号</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0E77BC58">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具体排查指标</w:t>
            </w: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263BE675">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责任分工</w:t>
            </w:r>
          </w:p>
        </w:tc>
        <w:tc>
          <w:tcPr>
            <w:tcW w:w="1725" w:type="dxa"/>
            <w:tcBorders>
              <w:top w:val="single" w:color="000000" w:sz="4" w:space="0"/>
              <w:left w:val="single" w:color="000000" w:sz="4" w:space="0"/>
              <w:bottom w:val="single" w:color="000000" w:sz="4" w:space="0"/>
              <w:right w:val="single" w:color="000000" w:sz="4" w:space="0"/>
            </w:tcBorders>
            <w:noWrap w:val="0"/>
            <w:vAlign w:val="center"/>
          </w:tcPr>
          <w:p w14:paraId="745A9FFC">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备注</w:t>
            </w:r>
          </w:p>
        </w:tc>
      </w:tr>
      <w:tr w14:paraId="05781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60" w:hRule="atLeast"/>
        </w:trPr>
        <w:tc>
          <w:tcPr>
            <w:tcW w:w="2112" w:type="dxa"/>
            <w:tcBorders>
              <w:top w:val="single" w:color="000000" w:sz="4" w:space="0"/>
              <w:left w:val="single" w:color="000000" w:sz="4" w:space="0"/>
              <w:bottom w:val="single" w:color="auto" w:sz="4" w:space="0"/>
              <w:right w:val="single" w:color="000000" w:sz="4" w:space="0"/>
            </w:tcBorders>
            <w:noWrap w:val="0"/>
            <w:vAlign w:val="center"/>
          </w:tcPr>
          <w:p w14:paraId="5B727E81">
            <w:pPr>
              <w:keepNext w:val="0"/>
              <w:keepLines w:val="0"/>
              <w:widowControl/>
              <w:suppressLineNumbers w:val="0"/>
              <w:jc w:val="left"/>
              <w:textAlignment w:val="center"/>
              <w:rPr>
                <w:rFonts w:hint="default" w:ascii="黑体" w:hAnsi="宋体" w:eastAsia="黑体" w:cs="黑体"/>
                <w:i w:val="0"/>
                <w:iCs w:val="0"/>
                <w:color w:val="000000"/>
                <w:sz w:val="24"/>
                <w:szCs w:val="24"/>
                <w:u w:val="none"/>
                <w:lang w:val="en-US"/>
              </w:rPr>
            </w:pPr>
            <w:r>
              <w:rPr>
                <w:rFonts w:hint="eastAsia" w:ascii="黑体" w:hAnsi="宋体" w:eastAsia="黑体" w:cs="黑体"/>
                <w:i w:val="0"/>
                <w:iCs w:val="0"/>
                <w:color w:val="000000"/>
                <w:kern w:val="0"/>
                <w:sz w:val="24"/>
                <w:szCs w:val="24"/>
                <w:u w:val="none"/>
                <w:lang w:val="en-US" w:eastAsia="zh-CN" w:bidi="ar"/>
              </w:rPr>
              <w:t>（一）二级部门安全工作主体责任落实情况。</w:t>
            </w:r>
          </w:p>
        </w:tc>
        <w:tc>
          <w:tcPr>
            <w:tcW w:w="727" w:type="dxa"/>
            <w:vMerge w:val="restart"/>
            <w:tcBorders>
              <w:top w:val="single" w:color="auto" w:sz="4" w:space="0"/>
              <w:left w:val="single" w:color="auto" w:sz="4" w:space="0"/>
              <w:right w:val="single" w:color="auto" w:sz="4" w:space="0"/>
            </w:tcBorders>
            <w:noWrap w:val="0"/>
            <w:vAlign w:val="center"/>
          </w:tcPr>
          <w:p w14:paraId="4E458001">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1</w:t>
            </w:r>
          </w:p>
        </w:tc>
        <w:tc>
          <w:tcPr>
            <w:tcW w:w="5228" w:type="dxa"/>
            <w:tcBorders>
              <w:top w:val="single" w:color="auto" w:sz="4" w:space="0"/>
              <w:left w:val="single" w:color="auto" w:sz="4" w:space="0"/>
              <w:bottom w:val="single" w:color="auto" w:sz="4" w:space="0"/>
              <w:right w:val="single" w:color="auto" w:sz="4" w:space="0"/>
            </w:tcBorders>
            <w:noWrap w:val="0"/>
            <w:vAlign w:val="center"/>
          </w:tcPr>
          <w:p w14:paraId="4A56F6D4">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是否建立健全安全管理制度、安全应急机制、安全事故处置预案；是否采取多种形式定期对学生进行安全教育；是否定期学习研究、安排部署部门安全工作；是否常态化开展安全隐患排查并积极进行整改；是否定期组织学生进行安全教育和消防、防震等应急演练；是否经常组织相关安全工作人员参加学校安全工作培训、认真学习有关学校安全文件。</w:t>
            </w:r>
          </w:p>
        </w:tc>
        <w:tc>
          <w:tcPr>
            <w:tcW w:w="3975" w:type="dxa"/>
            <w:tcBorders>
              <w:top w:val="single" w:color="auto" w:sz="4" w:space="0"/>
              <w:left w:val="single" w:color="auto" w:sz="4" w:space="0"/>
              <w:bottom w:val="single" w:color="auto" w:sz="4" w:space="0"/>
              <w:right w:val="single" w:color="auto" w:sz="4" w:space="0"/>
            </w:tcBorders>
            <w:noWrap w:val="0"/>
            <w:vAlign w:val="center"/>
          </w:tcPr>
          <w:p w14:paraId="48AFB6EF">
            <w:pPr>
              <w:jc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sz w:val="24"/>
                <w:szCs w:val="24"/>
                <w:u w:val="none"/>
                <w:lang w:val="en-US" w:eastAsia="zh-CN"/>
              </w:rPr>
              <w:t>全校各部门、院系</w:t>
            </w:r>
          </w:p>
        </w:tc>
        <w:tc>
          <w:tcPr>
            <w:tcW w:w="1725" w:type="dxa"/>
            <w:vMerge w:val="restart"/>
            <w:tcBorders>
              <w:top w:val="single" w:color="auto" w:sz="4" w:space="0"/>
              <w:left w:val="single" w:color="auto" w:sz="4" w:space="0"/>
              <w:right w:val="single" w:color="auto" w:sz="4" w:space="0"/>
            </w:tcBorders>
            <w:noWrap w:val="0"/>
            <w:vAlign w:val="center"/>
          </w:tcPr>
          <w:p w14:paraId="1286F612">
            <w:pPr>
              <w:rPr>
                <w:rFonts w:hint="eastAsia" w:ascii="仿宋" w:hAnsi="仿宋" w:eastAsia="仿宋" w:cs="仿宋"/>
                <w:i w:val="0"/>
                <w:iCs w:val="0"/>
                <w:color w:val="000000"/>
                <w:sz w:val="24"/>
                <w:szCs w:val="24"/>
                <w:u w:val="none"/>
              </w:rPr>
            </w:pPr>
          </w:p>
        </w:tc>
      </w:tr>
      <w:tr w14:paraId="346BE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1" w:hRule="atLeast"/>
        </w:trPr>
        <w:tc>
          <w:tcPr>
            <w:tcW w:w="2112" w:type="dxa"/>
            <w:vMerge w:val="restart"/>
            <w:tcBorders>
              <w:top w:val="single" w:color="auto" w:sz="4" w:space="0"/>
              <w:left w:val="single" w:color="000000" w:sz="4" w:space="0"/>
              <w:right w:val="single" w:color="auto" w:sz="4" w:space="0"/>
            </w:tcBorders>
            <w:noWrap w:val="0"/>
            <w:vAlign w:val="center"/>
          </w:tcPr>
          <w:p w14:paraId="5A3AF414">
            <w:pPr>
              <w:keepNext w:val="0"/>
              <w:keepLines w:val="0"/>
              <w:widowControl/>
              <w:numPr>
                <w:ilvl w:val="0"/>
                <w:numId w:val="0"/>
              </w:numPr>
              <w:suppressLineNumbers w:val="0"/>
              <w:jc w:val="both"/>
              <w:textAlignment w:val="center"/>
              <w:rPr>
                <w:rFonts w:hint="eastAsia" w:ascii="黑体" w:hAnsi="宋体" w:eastAsia="黑体" w:cs="黑体"/>
                <w:i w:val="0"/>
                <w:iCs w:val="0"/>
                <w:color w:val="000000"/>
                <w:kern w:val="0"/>
                <w:position w:val="0"/>
                <w:sz w:val="24"/>
                <w:szCs w:val="24"/>
                <w:u w:val="none"/>
                <w:lang w:val="en-US" w:eastAsia="zh-CN" w:bidi="ar"/>
              </w:rPr>
            </w:pPr>
          </w:p>
          <w:p w14:paraId="2650898D">
            <w:pPr>
              <w:keepNext w:val="0"/>
              <w:keepLines w:val="0"/>
              <w:widowControl/>
              <w:numPr>
                <w:ilvl w:val="0"/>
                <w:numId w:val="0"/>
              </w:numPr>
              <w:suppressLineNumbers w:val="0"/>
              <w:jc w:val="both"/>
              <w:textAlignment w:val="center"/>
              <w:rPr>
                <w:rFonts w:hint="eastAsia" w:ascii="黑体" w:hAnsi="宋体" w:eastAsia="黑体" w:cs="黑体"/>
                <w:i w:val="0"/>
                <w:iCs w:val="0"/>
                <w:color w:val="000000"/>
                <w:kern w:val="0"/>
                <w:position w:val="0"/>
                <w:sz w:val="24"/>
                <w:szCs w:val="24"/>
                <w:u w:val="none"/>
                <w:lang w:val="en-US" w:eastAsia="zh-CN" w:bidi="ar"/>
              </w:rPr>
            </w:pPr>
          </w:p>
          <w:p w14:paraId="3F092077">
            <w:pPr>
              <w:keepNext w:val="0"/>
              <w:keepLines w:val="0"/>
              <w:widowControl/>
              <w:numPr>
                <w:ilvl w:val="0"/>
                <w:numId w:val="0"/>
              </w:numPr>
              <w:suppressLineNumbers w:val="0"/>
              <w:jc w:val="both"/>
              <w:textAlignment w:val="center"/>
              <w:rPr>
                <w:rFonts w:hint="eastAsia" w:ascii="黑体" w:hAnsi="宋体" w:eastAsia="黑体" w:cs="黑体"/>
                <w:i w:val="0"/>
                <w:iCs w:val="0"/>
                <w:color w:val="000000"/>
                <w:kern w:val="0"/>
                <w:position w:val="0"/>
                <w:sz w:val="24"/>
                <w:szCs w:val="24"/>
                <w:u w:val="none"/>
                <w:lang w:val="en-US" w:eastAsia="zh-CN" w:bidi="ar"/>
              </w:rPr>
            </w:pPr>
          </w:p>
          <w:p w14:paraId="57B5F695">
            <w:pPr>
              <w:keepNext w:val="0"/>
              <w:keepLines w:val="0"/>
              <w:widowControl/>
              <w:numPr>
                <w:ilvl w:val="0"/>
                <w:numId w:val="2"/>
              </w:numPr>
              <w:suppressLineNumbers w:val="0"/>
              <w:jc w:val="center"/>
              <w:textAlignment w:val="center"/>
              <w:rPr>
                <w:rFonts w:hint="eastAsia" w:ascii="黑体" w:hAnsi="宋体" w:eastAsia="黑体" w:cs="黑体"/>
                <w:i w:val="0"/>
                <w:iCs w:val="0"/>
                <w:color w:val="000000"/>
                <w:kern w:val="0"/>
                <w:position w:val="0"/>
                <w:sz w:val="24"/>
                <w:szCs w:val="24"/>
                <w:u w:val="none"/>
                <w:lang w:val="en-US" w:eastAsia="zh-CN" w:bidi="ar"/>
              </w:rPr>
            </w:pPr>
            <w:r>
              <w:rPr>
                <w:rFonts w:hint="eastAsia" w:ascii="黑体" w:hAnsi="宋体" w:eastAsia="黑体" w:cs="黑体"/>
                <w:i w:val="0"/>
                <w:iCs w:val="0"/>
                <w:color w:val="000000"/>
                <w:kern w:val="0"/>
                <w:position w:val="0"/>
                <w:sz w:val="24"/>
                <w:szCs w:val="24"/>
                <w:u w:val="none"/>
                <w:lang w:val="en-US" w:eastAsia="zh-CN" w:bidi="ar"/>
              </w:rPr>
              <w:t>日常安全管理情况，包括</w:t>
            </w:r>
            <w:r>
              <w:rPr>
                <w:rFonts w:hint="eastAsia" w:ascii="黑体" w:hAnsi="宋体" w:eastAsia="黑体" w:cs="黑体"/>
                <w:i w:val="0"/>
                <w:iCs w:val="0"/>
                <w:color w:val="000000"/>
                <w:kern w:val="0"/>
                <w:sz w:val="24"/>
                <w:szCs w:val="24"/>
                <w:u w:val="none"/>
                <w:lang w:val="en-US" w:eastAsia="zh-CN" w:bidi="ar"/>
              </w:rPr>
              <w:t>消防安全、防汛、</w:t>
            </w:r>
            <w:r>
              <w:rPr>
                <w:rFonts w:hint="eastAsia" w:ascii="黑体" w:hAnsi="黑体" w:eastAsia="黑体" w:cs="黑体"/>
                <w:i w:val="0"/>
                <w:iCs w:val="0"/>
                <w:color w:val="000000"/>
                <w:kern w:val="0"/>
                <w:position w:val="0"/>
                <w:sz w:val="24"/>
                <w:szCs w:val="24"/>
                <w:u w:val="none"/>
                <w:lang w:val="en-US" w:eastAsia="zh-CN" w:bidi="ar"/>
              </w:rPr>
              <w:t>食堂建设、</w:t>
            </w:r>
            <w:r>
              <w:rPr>
                <w:rFonts w:hint="eastAsia" w:ascii="黑体" w:hAnsi="宋体" w:eastAsia="黑体" w:cs="黑体"/>
                <w:i w:val="0"/>
                <w:iCs w:val="0"/>
                <w:color w:val="000000"/>
                <w:kern w:val="0"/>
                <w:position w:val="0"/>
                <w:sz w:val="24"/>
                <w:szCs w:val="24"/>
                <w:u w:val="none"/>
                <w:lang w:val="en-US" w:eastAsia="zh-CN" w:bidi="ar"/>
              </w:rPr>
              <w:t>食品安全、</w:t>
            </w:r>
            <w:r>
              <w:rPr>
                <w:rFonts w:hint="eastAsia" w:ascii="黑体" w:hAnsi="宋体" w:eastAsia="黑体" w:cs="黑体"/>
                <w:i w:val="0"/>
                <w:iCs w:val="0"/>
                <w:color w:val="000000"/>
                <w:kern w:val="0"/>
                <w:sz w:val="24"/>
                <w:szCs w:val="24"/>
                <w:u w:val="none"/>
                <w:lang w:val="en-US" w:eastAsia="zh-CN" w:bidi="ar"/>
              </w:rPr>
              <w:t>燃气安全、</w:t>
            </w:r>
            <w:r>
              <w:rPr>
                <w:rFonts w:hint="eastAsia" w:ascii="黑体" w:hAnsi="宋体" w:eastAsia="黑体" w:cs="黑体"/>
                <w:i w:val="0"/>
                <w:iCs w:val="0"/>
                <w:color w:val="000000"/>
                <w:kern w:val="0"/>
                <w:position w:val="0"/>
                <w:sz w:val="24"/>
                <w:szCs w:val="24"/>
                <w:u w:val="none"/>
                <w:lang w:val="en-US" w:eastAsia="zh-CN" w:bidi="ar"/>
              </w:rPr>
              <w:t>校舍安全、实验室安全。</w:t>
            </w:r>
          </w:p>
          <w:p w14:paraId="03DBB349">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762D64C5">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5E53EAB4">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6BC982DC">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6B5448E1">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7189A646">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0C59D579">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213016C9">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1D6AFE89">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0D2A5B06">
            <w:pPr>
              <w:keepNext w:val="0"/>
              <w:keepLines w:val="0"/>
              <w:widowControl/>
              <w:numPr>
                <w:ilvl w:val="0"/>
                <w:numId w:val="0"/>
              </w:numPr>
              <w:suppressLineNumbers w:val="0"/>
              <w:jc w:val="center"/>
              <w:textAlignment w:val="center"/>
              <w:rPr>
                <w:rFonts w:hint="eastAsia" w:ascii="黑体" w:hAnsi="宋体" w:eastAsia="黑体" w:cs="黑体"/>
                <w:i w:val="0"/>
                <w:iCs w:val="0"/>
                <w:color w:val="000000"/>
                <w:kern w:val="0"/>
                <w:position w:val="0"/>
                <w:sz w:val="24"/>
                <w:szCs w:val="24"/>
                <w:u w:val="none"/>
                <w:lang w:val="en-US" w:eastAsia="zh-CN" w:bidi="ar"/>
              </w:rPr>
            </w:pPr>
            <w:r>
              <w:rPr>
                <w:rFonts w:hint="eastAsia" w:ascii="黑体" w:hAnsi="宋体" w:eastAsia="黑体" w:cs="黑体"/>
                <w:i w:val="0"/>
                <w:iCs w:val="0"/>
                <w:color w:val="000000"/>
                <w:kern w:val="0"/>
                <w:position w:val="0"/>
                <w:sz w:val="24"/>
                <w:szCs w:val="24"/>
                <w:u w:val="none"/>
                <w:lang w:val="en-US" w:eastAsia="zh-CN" w:bidi="ar"/>
              </w:rPr>
              <w:t>（二）日常安全管理情况，包括</w:t>
            </w:r>
            <w:r>
              <w:rPr>
                <w:rFonts w:hint="eastAsia" w:ascii="黑体" w:hAnsi="宋体" w:eastAsia="黑体" w:cs="黑体"/>
                <w:i w:val="0"/>
                <w:iCs w:val="0"/>
                <w:color w:val="000000"/>
                <w:kern w:val="0"/>
                <w:sz w:val="24"/>
                <w:szCs w:val="24"/>
                <w:u w:val="none"/>
                <w:lang w:val="en-US" w:eastAsia="zh-CN" w:bidi="ar"/>
              </w:rPr>
              <w:t>消防安全、防汛、</w:t>
            </w:r>
            <w:r>
              <w:rPr>
                <w:rFonts w:hint="eastAsia" w:ascii="黑体" w:hAnsi="黑体" w:eastAsia="黑体" w:cs="黑体"/>
                <w:i w:val="0"/>
                <w:iCs w:val="0"/>
                <w:color w:val="000000"/>
                <w:kern w:val="0"/>
                <w:position w:val="0"/>
                <w:sz w:val="24"/>
                <w:szCs w:val="24"/>
                <w:u w:val="none"/>
                <w:lang w:val="en-US" w:eastAsia="zh-CN" w:bidi="ar"/>
              </w:rPr>
              <w:t>食堂建设、</w:t>
            </w:r>
            <w:r>
              <w:rPr>
                <w:rFonts w:hint="eastAsia" w:ascii="黑体" w:hAnsi="宋体" w:eastAsia="黑体" w:cs="黑体"/>
                <w:i w:val="0"/>
                <w:iCs w:val="0"/>
                <w:color w:val="000000"/>
                <w:kern w:val="0"/>
                <w:position w:val="0"/>
                <w:sz w:val="24"/>
                <w:szCs w:val="24"/>
                <w:u w:val="none"/>
                <w:lang w:val="en-US" w:eastAsia="zh-CN" w:bidi="ar"/>
              </w:rPr>
              <w:t>食品安全、</w:t>
            </w:r>
            <w:r>
              <w:rPr>
                <w:rFonts w:hint="eastAsia" w:ascii="黑体" w:hAnsi="宋体" w:eastAsia="黑体" w:cs="黑体"/>
                <w:i w:val="0"/>
                <w:iCs w:val="0"/>
                <w:color w:val="000000"/>
                <w:kern w:val="0"/>
                <w:sz w:val="24"/>
                <w:szCs w:val="24"/>
                <w:u w:val="none"/>
                <w:lang w:val="en-US" w:eastAsia="zh-CN" w:bidi="ar"/>
              </w:rPr>
              <w:t>燃气安全、</w:t>
            </w:r>
            <w:r>
              <w:rPr>
                <w:rFonts w:hint="eastAsia" w:ascii="黑体" w:hAnsi="宋体" w:eastAsia="黑体" w:cs="黑体"/>
                <w:i w:val="0"/>
                <w:iCs w:val="0"/>
                <w:color w:val="000000"/>
                <w:kern w:val="0"/>
                <w:position w:val="0"/>
                <w:sz w:val="24"/>
                <w:szCs w:val="24"/>
                <w:u w:val="none"/>
                <w:lang w:val="en-US" w:eastAsia="zh-CN" w:bidi="ar"/>
              </w:rPr>
              <w:t>校舍安全、实验室安全</w:t>
            </w:r>
          </w:p>
          <w:p w14:paraId="30CCCFB8">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2D202DD7">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6FDE1B0E">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645CF9BB">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1CCE3E1B">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73F8AA33">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78FBD4BD">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6D9939F6">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0804C672">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2944F2D9">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0D59CD9D">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220E7657">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p>
          <w:p w14:paraId="5C9E73A2">
            <w:pPr>
              <w:keepNext w:val="0"/>
              <w:keepLines w:val="0"/>
              <w:widowControl/>
              <w:numPr>
                <w:ilvl w:val="0"/>
                <w:numId w:val="0"/>
              </w:numPr>
              <w:suppressLineNumbers w:val="0"/>
              <w:jc w:val="both"/>
              <w:textAlignment w:val="center"/>
              <w:rPr>
                <w:rFonts w:hint="default" w:ascii="黑体" w:hAnsi="宋体" w:eastAsia="黑体" w:cs="黑体"/>
                <w:i w:val="0"/>
                <w:iCs w:val="0"/>
                <w:color w:val="000000"/>
                <w:kern w:val="0"/>
                <w:position w:val="0"/>
                <w:sz w:val="24"/>
                <w:szCs w:val="24"/>
                <w:u w:val="none"/>
                <w:lang w:val="en-US" w:eastAsia="zh-CN" w:bidi="ar"/>
              </w:rPr>
            </w:pPr>
          </w:p>
          <w:p w14:paraId="10F73C4F">
            <w:pPr>
              <w:keepNext w:val="0"/>
              <w:keepLines w:val="0"/>
              <w:widowControl/>
              <w:numPr>
                <w:ilvl w:val="0"/>
                <w:numId w:val="0"/>
              </w:numPr>
              <w:suppressLineNumbers w:val="0"/>
              <w:jc w:val="center"/>
              <w:textAlignment w:val="center"/>
              <w:rPr>
                <w:rFonts w:hint="default" w:ascii="黑体" w:hAnsi="宋体" w:eastAsia="黑体" w:cs="黑体"/>
                <w:i w:val="0"/>
                <w:iCs w:val="0"/>
                <w:color w:val="000000"/>
                <w:kern w:val="0"/>
                <w:position w:val="0"/>
                <w:sz w:val="24"/>
                <w:szCs w:val="24"/>
                <w:u w:val="none"/>
                <w:lang w:val="en-US" w:eastAsia="zh-CN" w:bidi="ar"/>
              </w:rPr>
            </w:pPr>
            <w:r>
              <w:rPr>
                <w:rFonts w:hint="eastAsia" w:ascii="黑体" w:hAnsi="宋体" w:eastAsia="黑体" w:cs="黑体"/>
                <w:i w:val="0"/>
                <w:iCs w:val="0"/>
                <w:color w:val="000000"/>
                <w:kern w:val="0"/>
                <w:position w:val="0"/>
                <w:sz w:val="24"/>
                <w:szCs w:val="24"/>
                <w:u w:val="none"/>
                <w:lang w:val="en-US" w:eastAsia="zh-CN" w:bidi="ar"/>
              </w:rPr>
              <w:t>（二）日常安全管理情况，包括</w:t>
            </w:r>
            <w:r>
              <w:rPr>
                <w:rFonts w:hint="eastAsia" w:ascii="黑体" w:hAnsi="宋体" w:eastAsia="黑体" w:cs="黑体"/>
                <w:i w:val="0"/>
                <w:iCs w:val="0"/>
                <w:color w:val="000000"/>
                <w:kern w:val="0"/>
                <w:sz w:val="24"/>
                <w:szCs w:val="24"/>
                <w:u w:val="none"/>
                <w:lang w:val="en-US" w:eastAsia="zh-CN" w:bidi="ar"/>
              </w:rPr>
              <w:t>消防安全、防汛、</w:t>
            </w:r>
            <w:r>
              <w:rPr>
                <w:rFonts w:hint="eastAsia" w:ascii="黑体" w:hAnsi="黑体" w:eastAsia="黑体" w:cs="黑体"/>
                <w:i w:val="0"/>
                <w:iCs w:val="0"/>
                <w:color w:val="000000"/>
                <w:kern w:val="0"/>
                <w:position w:val="0"/>
                <w:sz w:val="24"/>
                <w:szCs w:val="24"/>
                <w:u w:val="none"/>
                <w:lang w:val="en-US" w:eastAsia="zh-CN" w:bidi="ar"/>
              </w:rPr>
              <w:t>食堂建设、</w:t>
            </w:r>
            <w:r>
              <w:rPr>
                <w:rFonts w:hint="eastAsia" w:ascii="黑体" w:hAnsi="宋体" w:eastAsia="黑体" w:cs="黑体"/>
                <w:i w:val="0"/>
                <w:iCs w:val="0"/>
                <w:color w:val="000000"/>
                <w:kern w:val="0"/>
                <w:position w:val="0"/>
                <w:sz w:val="24"/>
                <w:szCs w:val="24"/>
                <w:u w:val="none"/>
                <w:lang w:val="en-US" w:eastAsia="zh-CN" w:bidi="ar"/>
              </w:rPr>
              <w:t>食品安全、</w:t>
            </w:r>
            <w:r>
              <w:rPr>
                <w:rFonts w:hint="eastAsia" w:ascii="黑体" w:hAnsi="宋体" w:eastAsia="黑体" w:cs="黑体"/>
                <w:i w:val="0"/>
                <w:iCs w:val="0"/>
                <w:color w:val="000000"/>
                <w:kern w:val="0"/>
                <w:sz w:val="24"/>
                <w:szCs w:val="24"/>
                <w:u w:val="none"/>
                <w:lang w:val="en-US" w:eastAsia="zh-CN" w:bidi="ar"/>
              </w:rPr>
              <w:t>燃气安全、</w:t>
            </w:r>
            <w:r>
              <w:rPr>
                <w:rFonts w:hint="eastAsia" w:ascii="黑体" w:hAnsi="宋体" w:eastAsia="黑体" w:cs="黑体"/>
                <w:i w:val="0"/>
                <w:iCs w:val="0"/>
                <w:color w:val="000000"/>
                <w:kern w:val="0"/>
                <w:position w:val="0"/>
                <w:sz w:val="24"/>
                <w:szCs w:val="24"/>
                <w:u w:val="none"/>
                <w:lang w:val="en-US" w:eastAsia="zh-CN" w:bidi="ar"/>
              </w:rPr>
              <w:t>校舍安全、实验室安全</w:t>
            </w:r>
          </w:p>
        </w:tc>
        <w:tc>
          <w:tcPr>
            <w:tcW w:w="727" w:type="dxa"/>
            <w:tcBorders>
              <w:top w:val="single" w:color="auto" w:sz="4" w:space="0"/>
              <w:left w:val="single" w:color="auto" w:sz="4" w:space="0"/>
              <w:bottom w:val="single" w:color="auto" w:sz="4" w:space="0"/>
              <w:right w:val="single" w:color="auto" w:sz="4" w:space="0"/>
            </w:tcBorders>
            <w:noWrap w:val="0"/>
            <w:vAlign w:val="center"/>
          </w:tcPr>
          <w:p w14:paraId="5A010AD8">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2"/>
                <w:sz w:val="24"/>
                <w:szCs w:val="24"/>
                <w:u w:val="none"/>
                <w:lang w:val="en-US" w:eastAsia="zh-CN" w:bidi="ar-SA"/>
              </w:rPr>
              <w:t>2</w:t>
            </w:r>
          </w:p>
        </w:tc>
        <w:tc>
          <w:tcPr>
            <w:tcW w:w="5228" w:type="dxa"/>
            <w:tcBorders>
              <w:top w:val="single" w:color="auto" w:sz="4" w:space="0"/>
              <w:left w:val="single" w:color="auto" w:sz="4" w:space="0"/>
              <w:bottom w:val="single" w:color="auto" w:sz="4" w:space="0"/>
              <w:right w:val="single" w:color="auto" w:sz="4" w:space="0"/>
            </w:tcBorders>
            <w:noWrap w:val="0"/>
            <w:vAlign w:val="center"/>
          </w:tcPr>
          <w:p w14:paraId="27852FF7">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default" w:ascii="仿宋" w:hAnsi="仿宋" w:eastAsia="仿宋" w:cs="仿宋"/>
                <w:i w:val="0"/>
                <w:iCs w:val="0"/>
                <w:color w:val="000000"/>
                <w:sz w:val="24"/>
                <w:szCs w:val="24"/>
                <w:u w:val="none"/>
                <w:lang w:val="en-US"/>
              </w:rPr>
            </w:pPr>
            <w:r>
              <w:rPr>
                <w:rFonts w:hint="eastAsia" w:ascii="仿宋" w:hAnsi="仿宋" w:eastAsia="仿宋" w:cs="仿宋"/>
                <w:i w:val="0"/>
                <w:iCs w:val="0"/>
                <w:color w:val="000000"/>
                <w:kern w:val="0"/>
                <w:position w:val="0"/>
                <w:sz w:val="24"/>
                <w:szCs w:val="24"/>
                <w:u w:val="none"/>
                <w:lang w:val="en-US" w:eastAsia="zh-CN" w:bidi="ar"/>
              </w:rPr>
              <w:t>是否有消防、食品、燃气、校舍、实验室等相关管理制度，制度是否上墙。</w:t>
            </w:r>
          </w:p>
        </w:tc>
        <w:tc>
          <w:tcPr>
            <w:tcW w:w="3975" w:type="dxa"/>
            <w:tcBorders>
              <w:top w:val="single" w:color="auto" w:sz="4" w:space="0"/>
              <w:left w:val="single" w:color="auto" w:sz="4" w:space="0"/>
              <w:bottom w:val="single" w:color="auto" w:sz="4" w:space="0"/>
              <w:right w:val="single" w:color="auto" w:sz="4" w:space="0"/>
            </w:tcBorders>
            <w:noWrap w:val="0"/>
            <w:vAlign w:val="center"/>
          </w:tcPr>
          <w:p w14:paraId="4F86F696">
            <w:pPr>
              <w:jc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全校各部门、院系</w:t>
            </w:r>
          </w:p>
        </w:tc>
        <w:tc>
          <w:tcPr>
            <w:tcW w:w="1725" w:type="dxa"/>
            <w:tcBorders>
              <w:top w:val="single" w:color="auto" w:sz="4" w:space="0"/>
              <w:left w:val="single" w:color="auto" w:sz="4" w:space="0"/>
              <w:bottom w:val="single" w:color="auto" w:sz="4" w:space="0"/>
              <w:right w:val="single" w:color="auto" w:sz="4" w:space="0"/>
            </w:tcBorders>
            <w:noWrap w:val="0"/>
            <w:vAlign w:val="center"/>
          </w:tcPr>
          <w:p w14:paraId="563F10E0">
            <w:pPr>
              <w:rPr>
                <w:rFonts w:hint="eastAsia" w:ascii="仿宋" w:hAnsi="仿宋" w:eastAsia="仿宋" w:cs="仿宋"/>
                <w:i w:val="0"/>
                <w:iCs w:val="0"/>
                <w:color w:val="000000"/>
                <w:sz w:val="24"/>
                <w:szCs w:val="24"/>
                <w:u w:val="none"/>
              </w:rPr>
            </w:pPr>
          </w:p>
        </w:tc>
      </w:tr>
      <w:tr w14:paraId="7897C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2" w:hRule="atLeast"/>
        </w:trPr>
        <w:tc>
          <w:tcPr>
            <w:tcW w:w="2112" w:type="dxa"/>
            <w:vMerge w:val="continue"/>
            <w:tcBorders>
              <w:left w:val="single" w:color="000000" w:sz="4" w:space="0"/>
              <w:right w:val="single" w:color="auto" w:sz="4" w:space="0"/>
            </w:tcBorders>
            <w:noWrap w:val="0"/>
            <w:vAlign w:val="center"/>
          </w:tcPr>
          <w:p w14:paraId="46C41BC5">
            <w:pPr>
              <w:keepNext w:val="0"/>
              <w:keepLines w:val="0"/>
              <w:widowControl/>
              <w:suppressLineNumbers w:val="0"/>
              <w:jc w:val="center"/>
              <w:textAlignment w:val="center"/>
              <w:rPr>
                <w:rFonts w:hint="default" w:ascii="黑体" w:hAnsi="宋体" w:eastAsia="黑体" w:cs="黑体"/>
                <w:i w:val="0"/>
                <w:iCs w:val="0"/>
                <w:color w:val="000000"/>
                <w:kern w:val="2"/>
                <w:sz w:val="24"/>
                <w:szCs w:val="24"/>
                <w:u w:val="none"/>
                <w:lang w:val="en-US" w:eastAsia="zh-CN" w:bidi="ar-SA"/>
              </w:rPr>
            </w:pPr>
          </w:p>
        </w:tc>
        <w:tc>
          <w:tcPr>
            <w:tcW w:w="727" w:type="dxa"/>
            <w:tcBorders>
              <w:top w:val="single" w:color="auto" w:sz="4" w:space="0"/>
              <w:left w:val="single" w:color="auto" w:sz="4" w:space="0"/>
              <w:bottom w:val="single" w:color="auto" w:sz="4" w:space="0"/>
              <w:right w:val="single" w:color="auto" w:sz="4" w:space="0"/>
            </w:tcBorders>
            <w:noWrap w:val="0"/>
            <w:vAlign w:val="center"/>
          </w:tcPr>
          <w:p w14:paraId="621CDB0C">
            <w:pPr>
              <w:keepNext w:val="0"/>
              <w:keepLines w:val="0"/>
              <w:widowControl/>
              <w:suppressLineNumbers w:val="0"/>
              <w:jc w:val="center"/>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2"/>
                <w:sz w:val="24"/>
                <w:szCs w:val="24"/>
                <w:u w:val="none"/>
                <w:lang w:val="en-US" w:eastAsia="zh-CN" w:bidi="ar-SA"/>
              </w:rPr>
              <w:t>3</w:t>
            </w:r>
          </w:p>
        </w:tc>
        <w:tc>
          <w:tcPr>
            <w:tcW w:w="5228" w:type="dxa"/>
            <w:tcBorders>
              <w:top w:val="single" w:color="auto" w:sz="4" w:space="0"/>
              <w:left w:val="single" w:color="auto" w:sz="4" w:space="0"/>
              <w:bottom w:val="single" w:color="auto" w:sz="4" w:space="0"/>
              <w:right w:val="single" w:color="auto" w:sz="4" w:space="0"/>
            </w:tcBorders>
            <w:noWrap w:val="0"/>
            <w:vAlign w:val="center"/>
          </w:tcPr>
          <w:p w14:paraId="18D13C70">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2"/>
                <w:sz w:val="24"/>
                <w:szCs w:val="24"/>
                <w:u w:val="none"/>
                <w:lang w:val="en-US" w:eastAsia="zh-CN" w:bidi="ar-SA"/>
              </w:rPr>
            </w:pPr>
            <w:r>
              <w:rPr>
                <w:rFonts w:hint="eastAsia" w:ascii="黑体" w:hAnsi="黑体" w:eastAsia="黑体" w:cs="黑体"/>
                <w:i w:val="0"/>
                <w:iCs w:val="0"/>
                <w:color w:val="000000"/>
                <w:kern w:val="0"/>
                <w:sz w:val="24"/>
                <w:szCs w:val="24"/>
                <w:u w:val="none"/>
                <w:lang w:val="en-US" w:eastAsia="zh-CN" w:bidi="ar"/>
              </w:rPr>
              <w:t>消防安全</w:t>
            </w:r>
            <w:r>
              <w:rPr>
                <w:rFonts w:hint="eastAsia" w:ascii="仿宋" w:hAnsi="仿宋" w:eastAsia="仿宋" w:cs="仿宋"/>
                <w:i w:val="0"/>
                <w:iCs w:val="0"/>
                <w:color w:val="000000"/>
                <w:kern w:val="0"/>
                <w:sz w:val="24"/>
                <w:szCs w:val="24"/>
                <w:u w:val="none"/>
                <w:lang w:val="en-US" w:eastAsia="zh-CN" w:bidi="ar"/>
              </w:rPr>
              <w:t>：查看是否配备足量的灭火器、消防栓、应急疏散标识、应急照明灯、烟感器、自动喷淋系统等，以上消防设施设备是否处于正常工作状态；查看学校消防水泵水压是否达标和正常使用；查看消防通道、安全出口是否畅通，是否堆放杂物；查看学生宿舍门窗是否有阻碍逃生和救援的障碍物；查看是否有私拉乱接电线和线路老化、接线不规范现象；查看师生宿舍是否有使用大功率电器现象；查看学生宿舍电取暖设备安装是否科学合理，是否有物品覆盖现象；查看动火作业是否严格落实审批流程和安全监管；查看是否违规使用易燃可燃装饰装修；查看既有建筑外墙保温材料是否存在安全问题；查看消防控制室值班人员是否存在一人多岗、擅离职守等隐患；查看学生宿舍、教学楼等建筑是否按要求设置疏散出口；查看是否存在占用、堵塞、封闭校园内疏散通道、安全出口和消防车通道，以及人员密集场所的门窗设置影响逃生和灭火救援的障碍物等问题。</w:t>
            </w:r>
          </w:p>
        </w:tc>
        <w:tc>
          <w:tcPr>
            <w:tcW w:w="3975" w:type="dxa"/>
            <w:tcBorders>
              <w:top w:val="single" w:color="auto" w:sz="4" w:space="0"/>
              <w:left w:val="single" w:color="auto" w:sz="4" w:space="0"/>
              <w:bottom w:val="single" w:color="auto" w:sz="4" w:space="0"/>
              <w:right w:val="single" w:color="auto" w:sz="4" w:space="0"/>
            </w:tcBorders>
            <w:noWrap w:val="0"/>
            <w:vAlign w:val="center"/>
          </w:tcPr>
          <w:p w14:paraId="5B4542C3">
            <w:pPr>
              <w:jc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2"/>
                <w:sz w:val="24"/>
                <w:szCs w:val="24"/>
                <w:u w:val="none"/>
                <w:lang w:val="en-US" w:eastAsia="zh-CN" w:bidi="ar-SA"/>
              </w:rPr>
              <w:t>全校各部门、院系</w:t>
            </w:r>
          </w:p>
        </w:tc>
        <w:tc>
          <w:tcPr>
            <w:tcW w:w="1725" w:type="dxa"/>
            <w:tcBorders>
              <w:top w:val="single" w:color="auto" w:sz="4" w:space="0"/>
              <w:left w:val="single" w:color="auto" w:sz="4" w:space="0"/>
              <w:bottom w:val="single" w:color="auto" w:sz="4" w:space="0"/>
              <w:right w:val="single" w:color="auto" w:sz="4" w:space="0"/>
            </w:tcBorders>
            <w:noWrap w:val="0"/>
            <w:vAlign w:val="center"/>
          </w:tcPr>
          <w:p w14:paraId="01A1DE5B">
            <w:pPr>
              <w:rPr>
                <w:rFonts w:hint="default" w:ascii="仿宋" w:hAnsi="仿宋" w:eastAsia="仿宋" w:cs="仿宋"/>
                <w:i w:val="0"/>
                <w:iCs w:val="0"/>
                <w:color w:val="000000"/>
                <w:kern w:val="2"/>
                <w:sz w:val="24"/>
                <w:szCs w:val="24"/>
                <w:u w:val="none"/>
                <w:lang w:val="en-US" w:eastAsia="zh-CN" w:bidi="ar-SA"/>
              </w:rPr>
            </w:pPr>
          </w:p>
        </w:tc>
      </w:tr>
      <w:tr w14:paraId="7785A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71" w:hRule="atLeast"/>
        </w:trPr>
        <w:tc>
          <w:tcPr>
            <w:tcW w:w="2112" w:type="dxa"/>
            <w:vMerge w:val="continue"/>
            <w:tcBorders>
              <w:left w:val="single" w:color="000000" w:sz="4" w:space="0"/>
              <w:right w:val="single" w:color="auto" w:sz="4" w:space="0"/>
            </w:tcBorders>
            <w:noWrap w:val="0"/>
            <w:vAlign w:val="center"/>
          </w:tcPr>
          <w:p w14:paraId="6B91272D">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default" w:ascii="仿宋" w:hAnsi="仿宋" w:eastAsia="仿宋" w:cs="仿宋"/>
                <w:i w:val="0"/>
                <w:iCs w:val="0"/>
                <w:color w:val="000000"/>
                <w:sz w:val="24"/>
                <w:szCs w:val="24"/>
                <w:u w:val="none"/>
                <w:lang w:val="en-US"/>
              </w:rPr>
            </w:pPr>
          </w:p>
        </w:tc>
        <w:tc>
          <w:tcPr>
            <w:tcW w:w="727" w:type="dxa"/>
            <w:tcBorders>
              <w:top w:val="single" w:color="auto" w:sz="4" w:space="0"/>
              <w:left w:val="single" w:color="auto" w:sz="4" w:space="0"/>
              <w:bottom w:val="single" w:color="auto" w:sz="4" w:space="0"/>
              <w:right w:val="single" w:color="auto" w:sz="4" w:space="0"/>
            </w:tcBorders>
            <w:noWrap w:val="0"/>
            <w:vAlign w:val="center"/>
          </w:tcPr>
          <w:p w14:paraId="3BAA3974">
            <w:pPr>
              <w:keepNext w:val="0"/>
              <w:keepLines w:val="0"/>
              <w:widowControl/>
              <w:suppressLineNumbers w:val="0"/>
              <w:jc w:val="center"/>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2"/>
                <w:sz w:val="24"/>
                <w:szCs w:val="24"/>
                <w:u w:val="none"/>
                <w:lang w:val="en-US" w:eastAsia="zh-CN" w:bidi="ar-SA"/>
              </w:rPr>
              <w:t>4</w:t>
            </w:r>
          </w:p>
        </w:tc>
        <w:tc>
          <w:tcPr>
            <w:tcW w:w="5228" w:type="dxa"/>
            <w:tcBorders>
              <w:top w:val="single" w:color="auto" w:sz="4" w:space="0"/>
              <w:left w:val="single" w:color="auto" w:sz="4" w:space="0"/>
              <w:bottom w:val="single" w:color="auto" w:sz="4" w:space="0"/>
              <w:right w:val="single" w:color="auto" w:sz="4" w:space="0"/>
            </w:tcBorders>
            <w:noWrap w:val="0"/>
            <w:vAlign w:val="center"/>
          </w:tcPr>
          <w:p w14:paraId="14E9B184">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2"/>
                <w:sz w:val="24"/>
                <w:szCs w:val="24"/>
                <w:u w:val="none"/>
                <w:lang w:val="en-US" w:eastAsia="zh-CN" w:bidi="ar-SA"/>
              </w:rPr>
            </w:pPr>
            <w:r>
              <w:rPr>
                <w:rFonts w:hint="eastAsia" w:ascii="黑体" w:hAnsi="黑体" w:eastAsia="黑体" w:cs="黑体"/>
                <w:i w:val="0"/>
                <w:iCs w:val="0"/>
                <w:color w:val="000000"/>
                <w:kern w:val="0"/>
                <w:position w:val="0"/>
                <w:sz w:val="24"/>
                <w:szCs w:val="24"/>
                <w:u w:val="none"/>
                <w:lang w:val="en-US" w:eastAsia="zh-CN" w:bidi="ar"/>
              </w:rPr>
              <w:t>食堂建设</w:t>
            </w:r>
            <w:r>
              <w:rPr>
                <w:rFonts w:hint="eastAsia" w:ascii="仿宋" w:hAnsi="仿宋" w:eastAsia="仿宋" w:cs="仿宋"/>
                <w:i w:val="0"/>
                <w:iCs w:val="0"/>
                <w:color w:val="000000"/>
                <w:kern w:val="0"/>
                <w:position w:val="0"/>
                <w:sz w:val="24"/>
                <w:szCs w:val="24"/>
                <w:u w:val="none"/>
                <w:lang w:val="en-US" w:eastAsia="zh-CN" w:bidi="ar"/>
              </w:rPr>
              <w:t>：查看食堂内是否落实“互联网+明厨亮灶”，食品制作过程实现视频全覆盖，师生可以通过食堂内设置的显示器随时观看；食堂监控视频是否接入本校监控平台或市场监管等部门的监控平台；查看挡鼠板、防鼠台等防范生物侵害设备是否完善；查看食堂灭火器等设备是否充足、合格。</w:t>
            </w:r>
          </w:p>
        </w:tc>
        <w:tc>
          <w:tcPr>
            <w:tcW w:w="3975" w:type="dxa"/>
            <w:tcBorders>
              <w:top w:val="single" w:color="auto" w:sz="4" w:space="0"/>
              <w:left w:val="single" w:color="auto" w:sz="4" w:space="0"/>
              <w:bottom w:val="single" w:color="auto" w:sz="4" w:space="0"/>
              <w:right w:val="single" w:color="auto" w:sz="4" w:space="0"/>
            </w:tcBorders>
            <w:noWrap w:val="0"/>
            <w:vAlign w:val="center"/>
          </w:tcPr>
          <w:p w14:paraId="40284224">
            <w:pPr>
              <w:jc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后勤管理处</w:t>
            </w:r>
          </w:p>
        </w:tc>
        <w:tc>
          <w:tcPr>
            <w:tcW w:w="1725" w:type="dxa"/>
            <w:tcBorders>
              <w:top w:val="single" w:color="auto" w:sz="4" w:space="0"/>
              <w:left w:val="single" w:color="auto" w:sz="4" w:space="0"/>
              <w:bottom w:val="single" w:color="auto" w:sz="4" w:space="0"/>
              <w:right w:val="single" w:color="auto" w:sz="4" w:space="0"/>
            </w:tcBorders>
            <w:noWrap w:val="0"/>
            <w:vAlign w:val="center"/>
          </w:tcPr>
          <w:p w14:paraId="5C541BC7">
            <w:pPr>
              <w:rPr>
                <w:rFonts w:hint="default" w:ascii="仿宋" w:hAnsi="仿宋" w:eastAsia="仿宋" w:cs="仿宋"/>
                <w:i w:val="0"/>
                <w:iCs w:val="0"/>
                <w:color w:val="000000"/>
                <w:kern w:val="2"/>
                <w:sz w:val="24"/>
                <w:szCs w:val="24"/>
                <w:u w:val="none"/>
                <w:lang w:val="en-US" w:eastAsia="zh-CN" w:bidi="ar-SA"/>
              </w:rPr>
            </w:pPr>
          </w:p>
        </w:tc>
      </w:tr>
      <w:tr w14:paraId="650F3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0" w:hRule="atLeast"/>
        </w:trPr>
        <w:tc>
          <w:tcPr>
            <w:tcW w:w="2112" w:type="dxa"/>
            <w:vMerge w:val="continue"/>
            <w:tcBorders>
              <w:left w:val="single" w:color="000000" w:sz="4" w:space="0"/>
              <w:right w:val="single" w:color="auto" w:sz="4" w:space="0"/>
            </w:tcBorders>
            <w:noWrap w:val="0"/>
            <w:vAlign w:val="center"/>
          </w:tcPr>
          <w:p w14:paraId="6BB14A7B">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default" w:ascii="仿宋" w:hAnsi="仿宋" w:eastAsia="仿宋" w:cs="仿宋"/>
                <w:i w:val="0"/>
                <w:iCs w:val="0"/>
                <w:color w:val="000000"/>
                <w:sz w:val="24"/>
                <w:szCs w:val="24"/>
                <w:u w:val="none"/>
                <w:lang w:val="en-US"/>
              </w:rPr>
            </w:pPr>
          </w:p>
        </w:tc>
        <w:tc>
          <w:tcPr>
            <w:tcW w:w="727" w:type="dxa"/>
            <w:tcBorders>
              <w:top w:val="single" w:color="auto" w:sz="4" w:space="0"/>
              <w:left w:val="single" w:color="auto" w:sz="4" w:space="0"/>
              <w:bottom w:val="single" w:color="auto" w:sz="4" w:space="0"/>
              <w:right w:val="single" w:color="auto" w:sz="4" w:space="0"/>
            </w:tcBorders>
            <w:noWrap w:val="0"/>
            <w:vAlign w:val="center"/>
          </w:tcPr>
          <w:p w14:paraId="4422F982">
            <w:pPr>
              <w:keepNext w:val="0"/>
              <w:keepLines w:val="0"/>
              <w:widowControl/>
              <w:suppressLineNumbers w:val="0"/>
              <w:jc w:val="center"/>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2"/>
                <w:sz w:val="24"/>
                <w:szCs w:val="24"/>
                <w:u w:val="none"/>
                <w:lang w:val="en-US" w:eastAsia="zh-CN" w:bidi="ar-SA"/>
              </w:rPr>
              <w:t>5</w:t>
            </w:r>
          </w:p>
        </w:tc>
        <w:tc>
          <w:tcPr>
            <w:tcW w:w="5228" w:type="dxa"/>
            <w:tcBorders>
              <w:top w:val="single" w:color="auto" w:sz="4" w:space="0"/>
              <w:left w:val="single" w:color="auto" w:sz="4" w:space="0"/>
              <w:bottom w:val="single" w:color="auto" w:sz="4" w:space="0"/>
              <w:right w:val="single" w:color="auto" w:sz="4" w:space="0"/>
            </w:tcBorders>
            <w:noWrap w:val="0"/>
            <w:vAlign w:val="center"/>
          </w:tcPr>
          <w:p w14:paraId="3292F7DE">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2"/>
                <w:sz w:val="24"/>
                <w:szCs w:val="24"/>
                <w:u w:val="none"/>
                <w:lang w:val="en-US" w:eastAsia="zh-CN" w:bidi="ar-SA"/>
              </w:rPr>
            </w:pPr>
            <w:r>
              <w:rPr>
                <w:rFonts w:hint="eastAsia" w:ascii="黑体" w:hAnsi="黑体" w:eastAsia="黑体" w:cs="黑体"/>
                <w:i w:val="0"/>
                <w:iCs w:val="0"/>
                <w:color w:val="000000"/>
                <w:kern w:val="0"/>
                <w:position w:val="0"/>
                <w:sz w:val="24"/>
                <w:szCs w:val="24"/>
                <w:u w:val="none"/>
                <w:lang w:val="en-US" w:eastAsia="zh-CN" w:bidi="ar"/>
              </w:rPr>
              <w:t>食品安全</w:t>
            </w:r>
            <w:r>
              <w:rPr>
                <w:rFonts w:hint="eastAsia" w:ascii="仿宋" w:hAnsi="仿宋" w:eastAsia="仿宋" w:cs="仿宋"/>
                <w:i w:val="0"/>
                <w:iCs w:val="0"/>
                <w:color w:val="000000"/>
                <w:kern w:val="0"/>
                <w:position w:val="0"/>
                <w:sz w:val="24"/>
                <w:szCs w:val="24"/>
                <w:u w:val="none"/>
                <w:lang w:val="en-US" w:eastAsia="zh-CN" w:bidi="ar"/>
              </w:rPr>
              <w:t>：查看对食堂经营监督管理是否到位；查看食品是否离地离墙放置；查看食堂食品安全和膳食经费管理制度是否建立；查看食堂是否建立索证索票制度；查看食堂内卫生条件、供餐环境是否达标；查看食品餐饮具是否合格；查看是否建立食品留样制度，食品留样是否覆盖全部食品，且保存时间不低于48小时、125克标准。</w:t>
            </w:r>
          </w:p>
        </w:tc>
        <w:tc>
          <w:tcPr>
            <w:tcW w:w="3975" w:type="dxa"/>
            <w:tcBorders>
              <w:top w:val="single" w:color="auto" w:sz="4" w:space="0"/>
              <w:left w:val="single" w:color="auto" w:sz="4" w:space="0"/>
              <w:bottom w:val="single" w:color="auto" w:sz="4" w:space="0"/>
              <w:right w:val="single" w:color="auto" w:sz="4" w:space="0"/>
            </w:tcBorders>
            <w:noWrap w:val="0"/>
            <w:vAlign w:val="center"/>
          </w:tcPr>
          <w:p w14:paraId="36D86886">
            <w:pPr>
              <w:jc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后勤管理处</w:t>
            </w:r>
          </w:p>
        </w:tc>
        <w:tc>
          <w:tcPr>
            <w:tcW w:w="1725" w:type="dxa"/>
            <w:tcBorders>
              <w:top w:val="single" w:color="auto" w:sz="4" w:space="0"/>
              <w:left w:val="single" w:color="auto" w:sz="4" w:space="0"/>
              <w:bottom w:val="single" w:color="auto" w:sz="4" w:space="0"/>
              <w:right w:val="single" w:color="auto" w:sz="4" w:space="0"/>
            </w:tcBorders>
            <w:noWrap w:val="0"/>
            <w:vAlign w:val="center"/>
          </w:tcPr>
          <w:p w14:paraId="013A2C9E">
            <w:pPr>
              <w:rPr>
                <w:rFonts w:hint="default" w:ascii="仿宋" w:hAnsi="仿宋" w:eastAsia="仿宋" w:cs="仿宋"/>
                <w:i w:val="0"/>
                <w:iCs w:val="0"/>
                <w:color w:val="000000"/>
                <w:kern w:val="2"/>
                <w:sz w:val="24"/>
                <w:szCs w:val="24"/>
                <w:u w:val="none"/>
                <w:lang w:val="en-US" w:eastAsia="zh-CN" w:bidi="ar-SA"/>
              </w:rPr>
            </w:pPr>
          </w:p>
        </w:tc>
      </w:tr>
      <w:tr w14:paraId="64C0B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0" w:hRule="atLeast"/>
        </w:trPr>
        <w:tc>
          <w:tcPr>
            <w:tcW w:w="2112" w:type="dxa"/>
            <w:vMerge w:val="continue"/>
            <w:tcBorders>
              <w:left w:val="single" w:color="000000" w:sz="4" w:space="0"/>
              <w:right w:val="single" w:color="auto" w:sz="4" w:space="0"/>
            </w:tcBorders>
            <w:noWrap w:val="0"/>
            <w:vAlign w:val="center"/>
          </w:tcPr>
          <w:p w14:paraId="0655FD5B">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default" w:ascii="仿宋" w:hAnsi="仿宋" w:eastAsia="仿宋" w:cs="仿宋"/>
                <w:i w:val="0"/>
                <w:iCs w:val="0"/>
                <w:color w:val="000000"/>
                <w:sz w:val="24"/>
                <w:szCs w:val="24"/>
                <w:u w:val="none"/>
                <w:lang w:val="en-US"/>
              </w:rPr>
            </w:pPr>
          </w:p>
        </w:tc>
        <w:tc>
          <w:tcPr>
            <w:tcW w:w="727" w:type="dxa"/>
            <w:tcBorders>
              <w:top w:val="single" w:color="auto" w:sz="4" w:space="0"/>
              <w:left w:val="single" w:color="000000" w:sz="4" w:space="0"/>
              <w:bottom w:val="single" w:color="000000" w:sz="4" w:space="0"/>
              <w:right w:val="single" w:color="000000" w:sz="4" w:space="0"/>
            </w:tcBorders>
            <w:noWrap w:val="0"/>
            <w:vAlign w:val="center"/>
          </w:tcPr>
          <w:p w14:paraId="042CAF9D">
            <w:pPr>
              <w:keepNext w:val="0"/>
              <w:keepLines w:val="0"/>
              <w:widowControl/>
              <w:suppressLineNumbers w:val="0"/>
              <w:jc w:val="center"/>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2"/>
                <w:sz w:val="24"/>
                <w:szCs w:val="24"/>
                <w:u w:val="none"/>
                <w:lang w:val="en-US" w:eastAsia="zh-CN" w:bidi="ar-SA"/>
              </w:rPr>
              <w:t>6</w:t>
            </w:r>
          </w:p>
        </w:tc>
        <w:tc>
          <w:tcPr>
            <w:tcW w:w="5228" w:type="dxa"/>
            <w:tcBorders>
              <w:top w:val="single" w:color="auto" w:sz="4" w:space="0"/>
              <w:left w:val="single" w:color="000000" w:sz="4" w:space="0"/>
              <w:bottom w:val="single" w:color="000000" w:sz="4" w:space="0"/>
              <w:right w:val="single" w:color="000000" w:sz="4" w:space="0"/>
            </w:tcBorders>
            <w:noWrap w:val="0"/>
            <w:vAlign w:val="center"/>
          </w:tcPr>
          <w:p w14:paraId="178F5658">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2"/>
                <w:sz w:val="24"/>
                <w:szCs w:val="24"/>
                <w:u w:val="none"/>
                <w:lang w:val="en-US" w:eastAsia="zh-CN" w:bidi="ar-SA"/>
              </w:rPr>
            </w:pPr>
            <w:r>
              <w:rPr>
                <w:rFonts w:hint="eastAsia" w:ascii="黑体" w:hAnsi="黑体" w:eastAsia="黑体" w:cs="黑体"/>
                <w:i w:val="0"/>
                <w:iCs w:val="0"/>
                <w:color w:val="000000"/>
                <w:kern w:val="0"/>
                <w:sz w:val="24"/>
                <w:szCs w:val="24"/>
                <w:highlight w:val="none"/>
                <w:u w:val="none"/>
                <w:lang w:val="en-US" w:eastAsia="zh-CN" w:bidi="ar"/>
              </w:rPr>
              <w:t>燃气安全：</w:t>
            </w:r>
            <w:r>
              <w:rPr>
                <w:rFonts w:hint="eastAsia" w:ascii="仿宋" w:hAnsi="仿宋" w:eastAsia="仿宋" w:cs="仿宋"/>
                <w:i w:val="0"/>
                <w:iCs w:val="0"/>
                <w:color w:val="000000"/>
                <w:kern w:val="0"/>
                <w:position w:val="0"/>
                <w:sz w:val="24"/>
                <w:szCs w:val="24"/>
                <w:highlight w:val="none"/>
                <w:u w:val="none"/>
                <w:lang w:val="en-US" w:eastAsia="zh-CN" w:bidi="ar"/>
              </w:rPr>
              <w:t>查看是否配合属地燃气主管部门和相关燃气企业开展检查检测工作，是否正确安装燃气泄漏报警装置、燃气自闭阀，是否存在用户软管私拉乱接、使用违规调压阀、对燃气管道违规占压、气瓶间违规设置在地下室和半地下室、将气瓶违规放置在室内用餐场所，是否存在双火源、燃气管线跨屋以及使用无熄火保护装置灶具等安全隐患。</w:t>
            </w:r>
          </w:p>
        </w:tc>
        <w:tc>
          <w:tcPr>
            <w:tcW w:w="3975" w:type="dxa"/>
            <w:tcBorders>
              <w:top w:val="single" w:color="auto" w:sz="4" w:space="0"/>
              <w:left w:val="single" w:color="000000" w:sz="4" w:space="0"/>
              <w:bottom w:val="single" w:color="000000" w:sz="4" w:space="0"/>
              <w:right w:val="single" w:color="000000" w:sz="4" w:space="0"/>
            </w:tcBorders>
            <w:noWrap w:val="0"/>
            <w:vAlign w:val="center"/>
          </w:tcPr>
          <w:p w14:paraId="27BD85B4">
            <w:pPr>
              <w:jc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后勤管理处、安全工作处、</w:t>
            </w:r>
          </w:p>
          <w:p w14:paraId="0F2A0044">
            <w:pPr>
              <w:jc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相关使用部门</w:t>
            </w:r>
          </w:p>
        </w:tc>
        <w:tc>
          <w:tcPr>
            <w:tcW w:w="1725" w:type="dxa"/>
            <w:tcBorders>
              <w:top w:val="single" w:color="auto" w:sz="4" w:space="0"/>
              <w:left w:val="single" w:color="000000" w:sz="4" w:space="0"/>
              <w:bottom w:val="single" w:color="000000" w:sz="4" w:space="0"/>
              <w:right w:val="single" w:color="000000" w:sz="4" w:space="0"/>
            </w:tcBorders>
            <w:noWrap w:val="0"/>
            <w:vAlign w:val="center"/>
          </w:tcPr>
          <w:p w14:paraId="1887E631">
            <w:pPr>
              <w:rPr>
                <w:rFonts w:hint="default" w:ascii="仿宋" w:hAnsi="仿宋" w:eastAsia="仿宋" w:cs="仿宋"/>
                <w:i w:val="0"/>
                <w:iCs w:val="0"/>
                <w:color w:val="000000"/>
                <w:kern w:val="2"/>
                <w:sz w:val="24"/>
                <w:szCs w:val="24"/>
                <w:u w:val="none"/>
                <w:lang w:val="en-US" w:eastAsia="zh-CN" w:bidi="ar-SA"/>
              </w:rPr>
            </w:pPr>
          </w:p>
        </w:tc>
      </w:tr>
      <w:tr w14:paraId="044F7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6" w:hRule="atLeast"/>
        </w:trPr>
        <w:tc>
          <w:tcPr>
            <w:tcW w:w="2112" w:type="dxa"/>
            <w:vMerge w:val="continue"/>
            <w:tcBorders>
              <w:left w:val="single" w:color="000000" w:sz="4" w:space="0"/>
              <w:right w:val="single" w:color="auto" w:sz="4" w:space="0"/>
            </w:tcBorders>
            <w:noWrap w:val="0"/>
            <w:vAlign w:val="center"/>
          </w:tcPr>
          <w:p w14:paraId="43637365">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default" w:ascii="仿宋" w:hAnsi="仿宋" w:eastAsia="仿宋" w:cs="仿宋"/>
                <w:i w:val="0"/>
                <w:iCs w:val="0"/>
                <w:color w:val="000000"/>
                <w:sz w:val="24"/>
                <w:szCs w:val="24"/>
                <w:u w:val="none"/>
                <w:lang w:val="en-US"/>
              </w:rPr>
            </w:pPr>
          </w:p>
        </w:tc>
        <w:tc>
          <w:tcPr>
            <w:tcW w:w="727" w:type="dxa"/>
            <w:tcBorders>
              <w:left w:val="single" w:color="000000" w:sz="4" w:space="0"/>
              <w:bottom w:val="single" w:color="000000" w:sz="4" w:space="0"/>
              <w:right w:val="single" w:color="000000" w:sz="4" w:space="0"/>
            </w:tcBorders>
            <w:noWrap w:val="0"/>
            <w:vAlign w:val="center"/>
          </w:tcPr>
          <w:p w14:paraId="543E1E73">
            <w:pPr>
              <w:keepNext w:val="0"/>
              <w:keepLines w:val="0"/>
              <w:widowControl/>
              <w:suppressLineNumbers w:val="0"/>
              <w:jc w:val="center"/>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7</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5566C0B6">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2"/>
                <w:sz w:val="24"/>
                <w:szCs w:val="24"/>
                <w:u w:val="none"/>
                <w:lang w:val="en-US" w:eastAsia="zh-CN" w:bidi="ar-SA"/>
              </w:rPr>
            </w:pPr>
            <w:r>
              <w:rPr>
                <w:rFonts w:hint="eastAsia" w:ascii="黑体" w:hAnsi="黑体" w:eastAsia="黑体" w:cs="黑体"/>
                <w:i w:val="0"/>
                <w:iCs w:val="0"/>
                <w:color w:val="000000"/>
                <w:kern w:val="0"/>
                <w:position w:val="0"/>
                <w:sz w:val="24"/>
                <w:szCs w:val="24"/>
                <w:highlight w:val="none"/>
                <w:u w:val="none"/>
                <w:lang w:val="en-US" w:eastAsia="zh-CN" w:bidi="ar"/>
              </w:rPr>
              <w:t>校舍安全</w:t>
            </w:r>
            <w:r>
              <w:rPr>
                <w:rFonts w:hint="eastAsia" w:ascii="仿宋" w:hAnsi="仿宋" w:eastAsia="仿宋" w:cs="仿宋"/>
                <w:i w:val="0"/>
                <w:iCs w:val="0"/>
                <w:color w:val="000000"/>
                <w:kern w:val="0"/>
                <w:position w:val="0"/>
                <w:sz w:val="24"/>
                <w:szCs w:val="24"/>
                <w:highlight w:val="none"/>
                <w:u w:val="none"/>
                <w:lang w:val="en-US" w:eastAsia="zh-CN" w:bidi="ar"/>
              </w:rPr>
              <w:t>：查看是否存在危房、易倒塌建筑物等；楼梯扶手、门窗等是否牢固；是否加强“小施工”安全管理；是否开展“小施工”安全排查；是否落实“小施工”安全管理主体责任；是否对供电有连续性要求的重点部位、重要设备采用双电源供电；是否制定停电应急预案、开展停电应急演练。</w:t>
            </w: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5E0AF307">
            <w:pPr>
              <w:jc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后勤管理处、安全工作处、</w:t>
            </w:r>
          </w:p>
          <w:p w14:paraId="7B830A0A">
            <w:pPr>
              <w:jc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相关实施部门</w:t>
            </w:r>
          </w:p>
        </w:tc>
        <w:tc>
          <w:tcPr>
            <w:tcW w:w="1725" w:type="dxa"/>
            <w:tcBorders>
              <w:left w:val="single" w:color="000000" w:sz="4" w:space="0"/>
              <w:bottom w:val="single" w:color="000000" w:sz="4" w:space="0"/>
              <w:right w:val="single" w:color="000000" w:sz="4" w:space="0"/>
            </w:tcBorders>
            <w:noWrap w:val="0"/>
            <w:vAlign w:val="center"/>
          </w:tcPr>
          <w:p w14:paraId="60DFA4E5">
            <w:pPr>
              <w:rPr>
                <w:rFonts w:hint="default" w:ascii="仿宋" w:hAnsi="仿宋" w:eastAsia="仿宋" w:cs="仿宋"/>
                <w:i w:val="0"/>
                <w:iCs w:val="0"/>
                <w:color w:val="000000"/>
                <w:kern w:val="2"/>
                <w:sz w:val="24"/>
                <w:szCs w:val="24"/>
                <w:u w:val="none"/>
                <w:lang w:val="en-US" w:eastAsia="zh-CN" w:bidi="ar-SA"/>
              </w:rPr>
            </w:pPr>
          </w:p>
        </w:tc>
      </w:tr>
      <w:tr w14:paraId="0A116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trPr>
        <w:tc>
          <w:tcPr>
            <w:tcW w:w="2112" w:type="dxa"/>
            <w:vMerge w:val="continue"/>
            <w:tcBorders>
              <w:left w:val="single" w:color="000000" w:sz="4" w:space="0"/>
              <w:bottom w:val="single" w:color="auto" w:sz="4" w:space="0"/>
              <w:right w:val="single" w:color="auto" w:sz="4" w:space="0"/>
            </w:tcBorders>
            <w:noWrap w:val="0"/>
            <w:vAlign w:val="center"/>
          </w:tcPr>
          <w:p w14:paraId="5EAC0677">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default" w:ascii="仿宋" w:hAnsi="仿宋" w:eastAsia="仿宋" w:cs="仿宋"/>
                <w:i w:val="0"/>
                <w:iCs w:val="0"/>
                <w:color w:val="000000"/>
                <w:sz w:val="24"/>
                <w:szCs w:val="24"/>
                <w:u w:val="none"/>
                <w:lang w:val="en-US"/>
              </w:rPr>
            </w:pPr>
          </w:p>
        </w:tc>
        <w:tc>
          <w:tcPr>
            <w:tcW w:w="727" w:type="dxa"/>
            <w:tcBorders>
              <w:left w:val="single" w:color="000000" w:sz="4" w:space="0"/>
              <w:bottom w:val="single" w:color="000000" w:sz="4" w:space="0"/>
              <w:right w:val="single" w:color="000000" w:sz="4" w:space="0"/>
            </w:tcBorders>
            <w:noWrap w:val="0"/>
            <w:vAlign w:val="center"/>
          </w:tcPr>
          <w:p w14:paraId="1D280B09">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2"/>
                <w:sz w:val="24"/>
                <w:szCs w:val="24"/>
                <w:u w:val="none"/>
                <w:lang w:val="en-US" w:eastAsia="zh-CN" w:bidi="ar-SA"/>
              </w:rPr>
              <w:t>8</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6B66163B">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position w:val="0"/>
                <w:sz w:val="24"/>
                <w:szCs w:val="24"/>
                <w:u w:val="none"/>
                <w:lang w:val="en-US" w:eastAsia="zh-CN" w:bidi="ar"/>
              </w:rPr>
              <w:t>实验室安全</w:t>
            </w:r>
            <w:r>
              <w:rPr>
                <w:rFonts w:hint="eastAsia" w:ascii="仿宋" w:hAnsi="仿宋" w:eastAsia="仿宋" w:cs="仿宋"/>
                <w:i w:val="0"/>
                <w:iCs w:val="0"/>
                <w:color w:val="000000"/>
                <w:kern w:val="0"/>
                <w:position w:val="0"/>
                <w:sz w:val="24"/>
                <w:szCs w:val="24"/>
                <w:u w:val="none"/>
                <w:lang w:val="en-US" w:eastAsia="zh-CN" w:bidi="ar"/>
              </w:rPr>
              <w:t>：查看是否落实实验用品购买、领用、回收登记记录；是否定期开展安全检查。</w:t>
            </w: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204FFD59">
            <w:pPr>
              <w:jc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sz w:val="24"/>
                <w:szCs w:val="24"/>
                <w:u w:val="none"/>
                <w:lang w:val="en-US" w:eastAsia="zh-CN"/>
              </w:rPr>
              <w:t>管理使用部门</w:t>
            </w:r>
          </w:p>
        </w:tc>
        <w:tc>
          <w:tcPr>
            <w:tcW w:w="1725" w:type="dxa"/>
            <w:tcBorders>
              <w:left w:val="single" w:color="000000" w:sz="4" w:space="0"/>
              <w:bottom w:val="single" w:color="000000" w:sz="4" w:space="0"/>
              <w:right w:val="single" w:color="000000" w:sz="4" w:space="0"/>
            </w:tcBorders>
            <w:noWrap w:val="0"/>
            <w:vAlign w:val="center"/>
          </w:tcPr>
          <w:p w14:paraId="72FA6C78">
            <w:pPr>
              <w:rPr>
                <w:rFonts w:hint="default" w:ascii="仿宋" w:hAnsi="仿宋" w:eastAsia="仿宋" w:cs="仿宋"/>
                <w:i w:val="0"/>
                <w:iCs w:val="0"/>
                <w:color w:val="000000"/>
                <w:kern w:val="2"/>
                <w:sz w:val="24"/>
                <w:szCs w:val="24"/>
                <w:u w:val="none"/>
                <w:lang w:val="en-US" w:eastAsia="zh-CN" w:bidi="ar-SA"/>
              </w:rPr>
            </w:pPr>
          </w:p>
        </w:tc>
      </w:tr>
      <w:tr w14:paraId="697E3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4" w:hRule="atLeast"/>
        </w:trPr>
        <w:tc>
          <w:tcPr>
            <w:tcW w:w="2112" w:type="dxa"/>
            <w:tcBorders>
              <w:top w:val="single" w:color="auto" w:sz="4" w:space="0"/>
              <w:left w:val="single" w:color="auto" w:sz="4" w:space="0"/>
              <w:bottom w:val="single" w:color="auto" w:sz="4" w:space="0"/>
              <w:right w:val="single" w:color="000000" w:sz="4" w:space="0"/>
            </w:tcBorders>
            <w:noWrap w:val="0"/>
            <w:vAlign w:val="center"/>
          </w:tcPr>
          <w:p w14:paraId="78C1770A">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default" w:ascii="仿宋" w:hAnsi="仿宋" w:eastAsia="仿宋" w:cs="仿宋"/>
                <w:i w:val="0"/>
                <w:iCs w:val="0"/>
                <w:color w:val="000000"/>
                <w:sz w:val="24"/>
                <w:szCs w:val="24"/>
                <w:u w:val="none"/>
                <w:lang w:val="en-US"/>
              </w:rPr>
            </w:pPr>
            <w:r>
              <w:rPr>
                <w:rFonts w:hint="eastAsia" w:ascii="黑体" w:hAnsi="宋体" w:eastAsia="黑体" w:cs="黑体"/>
                <w:i w:val="0"/>
                <w:iCs w:val="0"/>
                <w:color w:val="000000"/>
                <w:kern w:val="0"/>
                <w:sz w:val="24"/>
                <w:szCs w:val="24"/>
                <w:u w:val="none"/>
                <w:lang w:val="en-US" w:eastAsia="zh-CN" w:bidi="ar"/>
              </w:rPr>
              <w:t>（三）交通和校车管理情况。</w:t>
            </w:r>
          </w:p>
        </w:tc>
        <w:tc>
          <w:tcPr>
            <w:tcW w:w="727" w:type="dxa"/>
            <w:tcBorders>
              <w:top w:val="single" w:color="000000" w:sz="4" w:space="0"/>
              <w:left w:val="single" w:color="000000" w:sz="4" w:space="0"/>
              <w:bottom w:val="single" w:color="000000" w:sz="4" w:space="0"/>
              <w:right w:val="single" w:color="000000" w:sz="4" w:space="0"/>
            </w:tcBorders>
            <w:noWrap w:val="0"/>
            <w:vAlign w:val="center"/>
          </w:tcPr>
          <w:p w14:paraId="62250886">
            <w:pPr>
              <w:keepNext w:val="0"/>
              <w:keepLines w:val="0"/>
              <w:widowControl/>
              <w:suppressLineNumbers w:val="0"/>
              <w:jc w:val="center"/>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9</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17FA7A22">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position w:val="0"/>
                <w:sz w:val="24"/>
                <w:szCs w:val="24"/>
                <w:u w:val="none"/>
                <w:lang w:val="en-US" w:eastAsia="zh-CN" w:bidi="ar"/>
              </w:rPr>
              <w:t>查看学校门口交通是否安全有序；是否设置限速标志、减速设施、人行横道，是否施划禁停网格线，是否配备硬质防冲撞设施；校园内是否人车分流。</w:t>
            </w: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227FC945">
            <w:pPr>
              <w:jc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安全工作处、后勤管理处</w:t>
            </w:r>
          </w:p>
        </w:tc>
        <w:tc>
          <w:tcPr>
            <w:tcW w:w="1725" w:type="dxa"/>
            <w:tcBorders>
              <w:top w:val="single" w:color="000000" w:sz="4" w:space="0"/>
              <w:left w:val="single" w:color="000000" w:sz="4" w:space="0"/>
              <w:bottom w:val="single" w:color="000000" w:sz="4" w:space="0"/>
              <w:right w:val="single" w:color="000000" w:sz="4" w:space="0"/>
            </w:tcBorders>
            <w:noWrap w:val="0"/>
            <w:vAlign w:val="center"/>
          </w:tcPr>
          <w:p w14:paraId="50963E8C">
            <w:pPr>
              <w:rPr>
                <w:rFonts w:hint="default" w:ascii="仿宋" w:hAnsi="仿宋" w:eastAsia="仿宋" w:cs="仿宋"/>
                <w:i w:val="0"/>
                <w:iCs w:val="0"/>
                <w:color w:val="000000"/>
                <w:kern w:val="2"/>
                <w:sz w:val="24"/>
                <w:szCs w:val="24"/>
                <w:u w:val="none"/>
                <w:lang w:val="en-US" w:eastAsia="zh-CN" w:bidi="ar-SA"/>
              </w:rPr>
            </w:pPr>
          </w:p>
        </w:tc>
      </w:tr>
      <w:tr w14:paraId="2F0AA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8" w:hRule="atLeast"/>
        </w:trPr>
        <w:tc>
          <w:tcPr>
            <w:tcW w:w="2112" w:type="dxa"/>
            <w:vMerge w:val="restart"/>
            <w:tcBorders>
              <w:top w:val="single" w:color="auto" w:sz="4" w:space="0"/>
              <w:left w:val="single" w:color="000000" w:sz="4" w:space="0"/>
              <w:bottom w:val="single" w:color="auto" w:sz="4" w:space="0"/>
              <w:right w:val="single" w:color="000000" w:sz="4" w:space="0"/>
            </w:tcBorders>
            <w:noWrap w:val="0"/>
            <w:vAlign w:val="center"/>
          </w:tcPr>
          <w:p w14:paraId="306B9E5C">
            <w:pPr>
              <w:jc w:val="left"/>
              <w:rPr>
                <w:rFonts w:hint="eastAsia" w:ascii="黑体" w:hAnsi="宋体" w:eastAsia="黑体" w:cs="黑体"/>
                <w:i w:val="0"/>
                <w:iCs w:val="0"/>
                <w:color w:val="000000"/>
                <w:kern w:val="2"/>
                <w:sz w:val="24"/>
                <w:szCs w:val="24"/>
                <w:u w:val="none"/>
                <w:lang w:val="en-US" w:eastAsia="zh-CN" w:bidi="ar-SA"/>
              </w:rPr>
            </w:pPr>
            <w:r>
              <w:rPr>
                <w:rFonts w:hint="eastAsia" w:ascii="黑体" w:hAnsi="宋体" w:eastAsia="黑体" w:cs="黑体"/>
                <w:i w:val="0"/>
                <w:iCs w:val="0"/>
                <w:color w:val="000000"/>
                <w:kern w:val="0"/>
                <w:sz w:val="24"/>
                <w:szCs w:val="24"/>
                <w:u w:val="none"/>
                <w:lang w:val="en-US" w:eastAsia="zh-CN" w:bidi="ar"/>
              </w:rPr>
              <w:t>（四）安防体系建设情况。</w:t>
            </w:r>
          </w:p>
        </w:tc>
        <w:tc>
          <w:tcPr>
            <w:tcW w:w="727" w:type="dxa"/>
            <w:tcBorders>
              <w:top w:val="single" w:color="000000" w:sz="4" w:space="0"/>
              <w:left w:val="single" w:color="000000" w:sz="4" w:space="0"/>
              <w:bottom w:val="single" w:color="000000" w:sz="4" w:space="0"/>
              <w:right w:val="single" w:color="000000" w:sz="4" w:space="0"/>
            </w:tcBorders>
            <w:noWrap w:val="0"/>
            <w:vAlign w:val="center"/>
          </w:tcPr>
          <w:p w14:paraId="205381B1">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sz w:val="24"/>
                <w:szCs w:val="24"/>
                <w:u w:val="none"/>
                <w:lang w:val="en-US" w:eastAsia="zh-CN"/>
              </w:rPr>
              <w:t>10</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3F69E058">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position w:val="0"/>
                <w:sz w:val="24"/>
                <w:szCs w:val="24"/>
                <w:u w:val="none"/>
                <w:lang w:val="en-US" w:eastAsia="zh-CN" w:bidi="ar"/>
              </w:rPr>
              <w:t>查看是否配备足量的专职保安员：师生员工总人数少于100人的学校至少配1名专职保安员；100人以上1000人以下的学校，至少配2名专职保安员；超过1000人的学校，每增加500名学生增配1名专职保安员；寄宿制学校至少配2名专职保安员，在上述标准的基础上每增加300名寄宿生增配1名专职保安员。</w:t>
            </w: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2EBB8BFF">
            <w:pPr>
              <w:jc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安全工作处、后勤管理处</w:t>
            </w:r>
          </w:p>
        </w:tc>
        <w:tc>
          <w:tcPr>
            <w:tcW w:w="1725" w:type="dxa"/>
            <w:tcBorders>
              <w:top w:val="single" w:color="000000" w:sz="4" w:space="0"/>
              <w:left w:val="single" w:color="000000" w:sz="4" w:space="0"/>
              <w:bottom w:val="single" w:color="000000" w:sz="4" w:space="0"/>
              <w:right w:val="single" w:color="000000" w:sz="4" w:space="0"/>
            </w:tcBorders>
            <w:noWrap w:val="0"/>
            <w:vAlign w:val="center"/>
          </w:tcPr>
          <w:p w14:paraId="594AC758">
            <w:pPr>
              <w:rPr>
                <w:rFonts w:hint="eastAsia" w:ascii="仿宋" w:hAnsi="仿宋" w:eastAsia="仿宋" w:cs="仿宋"/>
                <w:i w:val="0"/>
                <w:iCs w:val="0"/>
                <w:color w:val="000000"/>
                <w:kern w:val="2"/>
                <w:sz w:val="24"/>
                <w:szCs w:val="24"/>
                <w:u w:val="none"/>
                <w:lang w:val="en-US" w:eastAsia="zh-CN" w:bidi="ar-SA"/>
              </w:rPr>
            </w:pPr>
          </w:p>
        </w:tc>
      </w:tr>
      <w:tr w14:paraId="64E71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8" w:hRule="atLeast"/>
        </w:trPr>
        <w:tc>
          <w:tcPr>
            <w:tcW w:w="2112" w:type="dxa"/>
            <w:vMerge w:val="continue"/>
            <w:tcBorders>
              <w:top w:val="single" w:color="auto" w:sz="4" w:space="0"/>
              <w:left w:val="single" w:color="000000" w:sz="4" w:space="0"/>
              <w:bottom w:val="single" w:color="auto" w:sz="4" w:space="0"/>
              <w:right w:val="single" w:color="000000" w:sz="4" w:space="0"/>
            </w:tcBorders>
            <w:noWrap w:val="0"/>
            <w:vAlign w:val="center"/>
          </w:tcPr>
          <w:p w14:paraId="79342FFC">
            <w:pPr>
              <w:jc w:val="left"/>
              <w:rPr>
                <w:rFonts w:hint="eastAsia" w:ascii="黑体" w:hAnsi="宋体" w:eastAsia="黑体" w:cs="黑体"/>
                <w:i w:val="0"/>
                <w:iCs w:val="0"/>
                <w:color w:val="000000"/>
                <w:kern w:val="0"/>
                <w:sz w:val="24"/>
                <w:szCs w:val="24"/>
                <w:u w:val="none"/>
                <w:lang w:val="en-US" w:eastAsia="zh-CN" w:bidi="ar"/>
              </w:rPr>
            </w:pPr>
          </w:p>
        </w:tc>
        <w:tc>
          <w:tcPr>
            <w:tcW w:w="727" w:type="dxa"/>
            <w:tcBorders>
              <w:top w:val="single" w:color="000000" w:sz="4" w:space="0"/>
              <w:left w:val="single" w:color="000000" w:sz="4" w:space="0"/>
              <w:bottom w:val="single" w:color="000000" w:sz="4" w:space="0"/>
              <w:right w:val="single" w:color="000000" w:sz="4" w:space="0"/>
            </w:tcBorders>
            <w:noWrap w:val="0"/>
            <w:vAlign w:val="center"/>
          </w:tcPr>
          <w:p w14:paraId="582F80AE">
            <w:pPr>
              <w:keepNext w:val="0"/>
              <w:keepLines w:val="0"/>
              <w:widowControl/>
              <w:suppressLineNumbers w:val="0"/>
              <w:jc w:val="center"/>
              <w:textAlignment w:val="center"/>
              <w:rPr>
                <w:rFonts w:hint="default" w:ascii="仿宋" w:hAnsi="仿宋" w:eastAsia="仿宋" w:cs="仿宋"/>
                <w:i w:val="0"/>
                <w:iCs w:val="0"/>
                <w:color w:val="000000"/>
                <w:kern w:val="0"/>
                <w:position w:val="0"/>
                <w:sz w:val="24"/>
                <w:szCs w:val="24"/>
                <w:u w:val="none"/>
                <w:lang w:val="en-US" w:eastAsia="zh-CN" w:bidi="ar"/>
              </w:rPr>
            </w:pPr>
            <w:r>
              <w:rPr>
                <w:rFonts w:hint="eastAsia" w:ascii="仿宋" w:hAnsi="仿宋" w:eastAsia="仿宋" w:cs="仿宋"/>
                <w:i w:val="0"/>
                <w:iCs w:val="0"/>
                <w:color w:val="000000"/>
                <w:sz w:val="24"/>
                <w:szCs w:val="24"/>
                <w:u w:val="none"/>
                <w:lang w:val="en-US" w:eastAsia="zh-CN"/>
              </w:rPr>
              <w:t>11</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3C55948A">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0"/>
                <w:position w:val="0"/>
                <w:sz w:val="24"/>
                <w:szCs w:val="24"/>
                <w:u w:val="none"/>
                <w:lang w:val="en-US" w:eastAsia="zh-CN" w:bidi="ar"/>
              </w:rPr>
            </w:pPr>
            <w:r>
              <w:rPr>
                <w:rFonts w:hint="eastAsia" w:ascii="仿宋" w:hAnsi="仿宋" w:eastAsia="仿宋" w:cs="仿宋"/>
                <w:i w:val="0"/>
                <w:iCs w:val="0"/>
                <w:color w:val="000000"/>
                <w:kern w:val="0"/>
                <w:position w:val="0"/>
                <w:sz w:val="24"/>
                <w:szCs w:val="24"/>
                <w:u w:val="none"/>
                <w:lang w:val="en-US" w:eastAsia="zh-CN" w:bidi="ar"/>
              </w:rPr>
              <w:t>查看校园封闭化管理情况：查看校园围墙、大门等硬件是否完整，形成封闭的校园；查看是否有完整的出入校审批、登记记录；查看是否严格管控管制刀具等危险品进入校园。</w:t>
            </w: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4D7F095B">
            <w:pPr>
              <w:jc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安全工作处、后勤管理处</w:t>
            </w:r>
          </w:p>
        </w:tc>
        <w:tc>
          <w:tcPr>
            <w:tcW w:w="1725" w:type="dxa"/>
            <w:tcBorders>
              <w:top w:val="single" w:color="000000" w:sz="4" w:space="0"/>
              <w:left w:val="single" w:color="000000" w:sz="4" w:space="0"/>
              <w:bottom w:val="single" w:color="000000" w:sz="4" w:space="0"/>
              <w:right w:val="single" w:color="000000" w:sz="4" w:space="0"/>
            </w:tcBorders>
            <w:noWrap w:val="0"/>
            <w:vAlign w:val="center"/>
          </w:tcPr>
          <w:p w14:paraId="56260943">
            <w:pPr>
              <w:rPr>
                <w:rFonts w:hint="eastAsia" w:ascii="仿宋" w:hAnsi="仿宋" w:eastAsia="仿宋" w:cs="仿宋"/>
                <w:i w:val="0"/>
                <w:iCs w:val="0"/>
                <w:color w:val="000000"/>
                <w:kern w:val="2"/>
                <w:sz w:val="24"/>
                <w:szCs w:val="24"/>
                <w:u w:val="none"/>
                <w:lang w:val="en-US" w:eastAsia="zh-CN" w:bidi="ar-SA"/>
              </w:rPr>
            </w:pPr>
          </w:p>
        </w:tc>
      </w:tr>
      <w:tr w14:paraId="08C33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8" w:hRule="atLeast"/>
        </w:trPr>
        <w:tc>
          <w:tcPr>
            <w:tcW w:w="2112" w:type="dxa"/>
            <w:vMerge w:val="continue"/>
            <w:tcBorders>
              <w:top w:val="single" w:color="auto" w:sz="4" w:space="0"/>
              <w:left w:val="single" w:color="000000" w:sz="4" w:space="0"/>
              <w:bottom w:val="single" w:color="auto" w:sz="4" w:space="0"/>
              <w:right w:val="single" w:color="000000" w:sz="4" w:space="0"/>
            </w:tcBorders>
            <w:noWrap w:val="0"/>
            <w:vAlign w:val="center"/>
          </w:tcPr>
          <w:p w14:paraId="01560043">
            <w:pPr>
              <w:keepNext w:val="0"/>
              <w:keepLines w:val="0"/>
              <w:widowControl/>
              <w:suppressLineNumbers w:val="0"/>
              <w:jc w:val="center"/>
              <w:textAlignment w:val="center"/>
              <w:rPr>
                <w:rFonts w:hint="eastAsia" w:ascii="黑体" w:hAnsi="宋体" w:eastAsia="黑体" w:cs="黑体"/>
                <w:i w:val="0"/>
                <w:iCs w:val="0"/>
                <w:color w:val="000000"/>
                <w:kern w:val="0"/>
                <w:sz w:val="24"/>
                <w:szCs w:val="24"/>
                <w:u w:val="none"/>
                <w:lang w:val="en-US" w:eastAsia="zh-CN" w:bidi="ar"/>
              </w:rPr>
            </w:pPr>
          </w:p>
        </w:tc>
        <w:tc>
          <w:tcPr>
            <w:tcW w:w="727" w:type="dxa"/>
            <w:tcBorders>
              <w:top w:val="single" w:color="000000" w:sz="4" w:space="0"/>
              <w:left w:val="single" w:color="000000" w:sz="4" w:space="0"/>
              <w:bottom w:val="single" w:color="000000" w:sz="4" w:space="0"/>
              <w:right w:val="single" w:color="000000" w:sz="4" w:space="0"/>
            </w:tcBorders>
            <w:noWrap w:val="0"/>
            <w:vAlign w:val="center"/>
          </w:tcPr>
          <w:p w14:paraId="2F052770">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sz w:val="24"/>
                <w:szCs w:val="24"/>
                <w:u w:val="none"/>
                <w:lang w:val="en-US" w:eastAsia="zh-CN"/>
              </w:rPr>
              <w:t>12</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31236661">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position w:val="0"/>
                <w:sz w:val="24"/>
                <w:szCs w:val="24"/>
                <w:u w:val="none"/>
                <w:lang w:val="en-US" w:eastAsia="zh-CN" w:bidi="ar"/>
              </w:rPr>
              <w:t>查看一键式报警和视频监控：现场操作一键报警，是否能与公安机关音视频同传。</w:t>
            </w: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0BC3BC8F">
            <w:pPr>
              <w:jc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安全工作处、后勤管理处</w:t>
            </w:r>
          </w:p>
        </w:tc>
        <w:tc>
          <w:tcPr>
            <w:tcW w:w="1725" w:type="dxa"/>
            <w:tcBorders>
              <w:top w:val="single" w:color="000000" w:sz="4" w:space="0"/>
              <w:left w:val="single" w:color="000000" w:sz="4" w:space="0"/>
              <w:bottom w:val="single" w:color="000000" w:sz="4" w:space="0"/>
              <w:right w:val="single" w:color="000000" w:sz="4" w:space="0"/>
            </w:tcBorders>
            <w:noWrap w:val="0"/>
            <w:vAlign w:val="center"/>
          </w:tcPr>
          <w:p w14:paraId="3A6D11D3">
            <w:pPr>
              <w:rPr>
                <w:rFonts w:hint="eastAsia" w:ascii="仿宋" w:hAnsi="仿宋" w:eastAsia="仿宋" w:cs="仿宋"/>
                <w:i w:val="0"/>
                <w:iCs w:val="0"/>
                <w:color w:val="000000"/>
                <w:kern w:val="2"/>
                <w:sz w:val="24"/>
                <w:szCs w:val="24"/>
                <w:u w:val="none"/>
                <w:lang w:val="en-US" w:eastAsia="zh-CN" w:bidi="ar-SA"/>
              </w:rPr>
            </w:pPr>
          </w:p>
        </w:tc>
      </w:tr>
      <w:tr w14:paraId="3B7DD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6" w:hRule="atLeast"/>
        </w:trPr>
        <w:tc>
          <w:tcPr>
            <w:tcW w:w="2112" w:type="dxa"/>
            <w:vMerge w:val="restart"/>
            <w:tcBorders>
              <w:top w:val="single" w:color="auto" w:sz="4" w:space="0"/>
              <w:left w:val="single" w:color="000000" w:sz="4" w:space="0"/>
              <w:bottom w:val="single" w:color="auto" w:sz="4" w:space="0"/>
              <w:right w:val="single" w:color="000000" w:sz="4" w:space="0"/>
            </w:tcBorders>
            <w:noWrap w:val="0"/>
            <w:vAlign w:val="center"/>
          </w:tcPr>
          <w:p w14:paraId="2E32ACD4">
            <w:pPr>
              <w:keepNext w:val="0"/>
              <w:keepLines w:val="0"/>
              <w:widowControl/>
              <w:suppressLineNumbers w:val="0"/>
              <w:jc w:val="center"/>
              <w:textAlignment w:val="center"/>
              <w:rPr>
                <w:rFonts w:hint="default" w:ascii="黑体" w:hAnsi="宋体" w:eastAsia="黑体" w:cs="黑体"/>
                <w:i w:val="0"/>
                <w:iCs w:val="0"/>
                <w:color w:val="000000"/>
                <w:sz w:val="24"/>
                <w:szCs w:val="24"/>
                <w:u w:val="none"/>
                <w:lang w:val="en-US"/>
              </w:rPr>
            </w:pPr>
            <w:r>
              <w:rPr>
                <w:rFonts w:hint="eastAsia" w:ascii="黑体" w:hAnsi="宋体" w:eastAsia="黑体" w:cs="黑体"/>
                <w:i w:val="0"/>
                <w:iCs w:val="0"/>
                <w:color w:val="000000"/>
                <w:position w:val="0"/>
                <w:sz w:val="24"/>
                <w:szCs w:val="24"/>
                <w:u w:val="none"/>
                <w:lang w:eastAsia="zh-CN"/>
              </w:rPr>
              <w:t>（</w:t>
            </w:r>
            <w:r>
              <w:rPr>
                <w:rFonts w:hint="eastAsia" w:ascii="黑体" w:hAnsi="宋体" w:eastAsia="黑体" w:cs="黑体"/>
                <w:i w:val="0"/>
                <w:iCs w:val="0"/>
                <w:color w:val="000000"/>
                <w:position w:val="0"/>
                <w:sz w:val="24"/>
                <w:szCs w:val="24"/>
                <w:u w:val="none"/>
                <w:lang w:val="en-US" w:eastAsia="zh-CN"/>
              </w:rPr>
              <w:t>五</w:t>
            </w:r>
            <w:r>
              <w:rPr>
                <w:rFonts w:hint="eastAsia" w:ascii="黑体" w:hAnsi="宋体" w:eastAsia="黑体" w:cs="黑体"/>
                <w:i w:val="0"/>
                <w:iCs w:val="0"/>
                <w:color w:val="000000"/>
                <w:position w:val="0"/>
                <w:sz w:val="24"/>
                <w:szCs w:val="24"/>
                <w:u w:val="none"/>
                <w:lang w:eastAsia="zh-CN"/>
              </w:rPr>
              <w:t>）</w:t>
            </w:r>
            <w:r>
              <w:rPr>
                <w:rFonts w:hint="eastAsia" w:ascii="黑体" w:hAnsi="宋体" w:eastAsia="黑体" w:cs="黑体"/>
                <w:i w:val="0"/>
                <w:iCs w:val="0"/>
                <w:color w:val="000000"/>
                <w:position w:val="0"/>
                <w:sz w:val="24"/>
                <w:szCs w:val="24"/>
                <w:u w:val="none"/>
                <w:lang w:val="en-US" w:eastAsia="zh-CN"/>
              </w:rPr>
              <w:t>加强师生安全教育及突发事件应急预案与应急演练情况。</w:t>
            </w:r>
          </w:p>
        </w:tc>
        <w:tc>
          <w:tcPr>
            <w:tcW w:w="727" w:type="dxa"/>
            <w:tcBorders>
              <w:top w:val="single" w:color="000000" w:sz="4" w:space="0"/>
              <w:left w:val="single" w:color="000000" w:sz="4" w:space="0"/>
              <w:bottom w:val="single" w:color="000000" w:sz="4" w:space="0"/>
              <w:right w:val="single" w:color="000000" w:sz="4" w:space="0"/>
            </w:tcBorders>
            <w:noWrap w:val="0"/>
            <w:vAlign w:val="center"/>
          </w:tcPr>
          <w:p w14:paraId="0ED713C6">
            <w:pPr>
              <w:keepNext w:val="0"/>
              <w:keepLines w:val="0"/>
              <w:widowControl/>
              <w:suppressLineNumbers w:val="0"/>
              <w:jc w:val="center"/>
              <w:textAlignment w:val="center"/>
              <w:rPr>
                <w:rFonts w:hint="default"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kern w:val="0"/>
                <w:position w:val="0"/>
                <w:sz w:val="24"/>
                <w:szCs w:val="24"/>
                <w:u w:val="none"/>
                <w:lang w:val="en-US" w:eastAsia="zh-CN" w:bidi="ar"/>
              </w:rPr>
              <w:t>13</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63C2DE55">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position w:val="0"/>
                <w:sz w:val="24"/>
                <w:szCs w:val="24"/>
                <w:u w:val="none"/>
                <w:lang w:val="en-US" w:eastAsia="zh-CN" w:bidi="ar"/>
              </w:rPr>
              <w:t>查看学校是否举办主题班队会、安全讲座等安全教育活动，是否严格落实常态化安全教育制度。</w:t>
            </w: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25E5C2EC">
            <w:pPr>
              <w:jc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sz w:val="24"/>
                <w:szCs w:val="24"/>
                <w:u w:val="none"/>
                <w:lang w:val="en-US" w:eastAsia="zh-CN"/>
              </w:rPr>
              <w:t>全校各部门、院系</w:t>
            </w:r>
          </w:p>
        </w:tc>
        <w:tc>
          <w:tcPr>
            <w:tcW w:w="1725" w:type="dxa"/>
            <w:tcBorders>
              <w:top w:val="single" w:color="000000" w:sz="4" w:space="0"/>
              <w:left w:val="single" w:color="000000" w:sz="4" w:space="0"/>
              <w:bottom w:val="single" w:color="000000" w:sz="4" w:space="0"/>
              <w:right w:val="single" w:color="000000" w:sz="4" w:space="0"/>
            </w:tcBorders>
            <w:noWrap w:val="0"/>
            <w:vAlign w:val="center"/>
          </w:tcPr>
          <w:p w14:paraId="7ADF65F2">
            <w:pPr>
              <w:rPr>
                <w:rFonts w:hint="eastAsia" w:ascii="仿宋" w:hAnsi="仿宋" w:eastAsia="仿宋" w:cs="仿宋"/>
                <w:i w:val="0"/>
                <w:iCs w:val="0"/>
                <w:color w:val="000000"/>
                <w:sz w:val="24"/>
                <w:szCs w:val="24"/>
                <w:u w:val="none"/>
              </w:rPr>
            </w:pPr>
          </w:p>
        </w:tc>
      </w:tr>
      <w:tr w14:paraId="39DEF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3" w:hRule="atLeast"/>
        </w:trPr>
        <w:tc>
          <w:tcPr>
            <w:tcW w:w="2112" w:type="dxa"/>
            <w:vMerge w:val="continue"/>
            <w:tcBorders>
              <w:top w:val="single" w:color="auto" w:sz="4" w:space="0"/>
              <w:left w:val="single" w:color="000000" w:sz="4" w:space="0"/>
              <w:bottom w:val="single" w:color="auto" w:sz="4" w:space="0"/>
              <w:right w:val="single" w:color="000000" w:sz="4" w:space="0"/>
            </w:tcBorders>
            <w:noWrap w:val="0"/>
            <w:vAlign w:val="center"/>
          </w:tcPr>
          <w:p w14:paraId="4971E103">
            <w:pPr>
              <w:jc w:val="center"/>
              <w:rPr>
                <w:rFonts w:hint="eastAsia" w:ascii="黑体" w:hAnsi="宋体" w:eastAsia="黑体" w:cs="黑体"/>
                <w:i w:val="0"/>
                <w:iCs w:val="0"/>
                <w:color w:val="000000"/>
                <w:sz w:val="24"/>
                <w:szCs w:val="24"/>
                <w:u w:val="none"/>
              </w:rPr>
            </w:pPr>
          </w:p>
        </w:tc>
        <w:tc>
          <w:tcPr>
            <w:tcW w:w="727" w:type="dxa"/>
            <w:tcBorders>
              <w:top w:val="single" w:color="000000" w:sz="4" w:space="0"/>
              <w:left w:val="single" w:color="000000" w:sz="4" w:space="0"/>
              <w:bottom w:val="single" w:color="000000" w:sz="4" w:space="0"/>
              <w:right w:val="single" w:color="000000" w:sz="4" w:space="0"/>
            </w:tcBorders>
            <w:noWrap w:val="0"/>
            <w:vAlign w:val="center"/>
          </w:tcPr>
          <w:p w14:paraId="129C3A59">
            <w:pPr>
              <w:keepNext w:val="0"/>
              <w:keepLines w:val="0"/>
              <w:widowControl/>
              <w:suppressLineNumbers w:val="0"/>
              <w:jc w:val="center"/>
              <w:textAlignment w:val="center"/>
              <w:rPr>
                <w:rFonts w:hint="default"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kern w:val="0"/>
                <w:position w:val="0"/>
                <w:sz w:val="24"/>
                <w:szCs w:val="24"/>
                <w:u w:val="none"/>
                <w:lang w:val="en-US" w:eastAsia="zh-CN" w:bidi="ar"/>
              </w:rPr>
              <w:t>14</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42767D55">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position w:val="0"/>
                <w:sz w:val="24"/>
                <w:szCs w:val="24"/>
                <w:u w:val="none"/>
                <w:lang w:val="en-US" w:eastAsia="zh-CN" w:bidi="ar"/>
              </w:rPr>
              <w:t>是否落实领导干部在岗带班和24小时值班制度。</w:t>
            </w: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3B31345E">
            <w:pPr>
              <w:jc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sz w:val="24"/>
                <w:szCs w:val="24"/>
                <w:u w:val="none"/>
                <w:lang w:val="en-US" w:eastAsia="zh-CN"/>
              </w:rPr>
              <w:t>全校各部门、院系</w:t>
            </w:r>
          </w:p>
        </w:tc>
        <w:tc>
          <w:tcPr>
            <w:tcW w:w="1725" w:type="dxa"/>
            <w:tcBorders>
              <w:top w:val="single" w:color="000000" w:sz="4" w:space="0"/>
              <w:left w:val="single" w:color="000000" w:sz="4" w:space="0"/>
              <w:bottom w:val="single" w:color="000000" w:sz="4" w:space="0"/>
              <w:right w:val="single" w:color="000000" w:sz="4" w:space="0"/>
            </w:tcBorders>
            <w:noWrap w:val="0"/>
            <w:vAlign w:val="center"/>
          </w:tcPr>
          <w:p w14:paraId="131AAC21">
            <w:pPr>
              <w:rPr>
                <w:rFonts w:hint="eastAsia" w:ascii="仿宋" w:hAnsi="仿宋" w:eastAsia="仿宋" w:cs="仿宋"/>
                <w:i w:val="0"/>
                <w:iCs w:val="0"/>
                <w:color w:val="000000"/>
                <w:sz w:val="24"/>
                <w:szCs w:val="24"/>
                <w:u w:val="none"/>
              </w:rPr>
            </w:pPr>
          </w:p>
        </w:tc>
      </w:tr>
      <w:tr w14:paraId="0F782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5" w:hRule="atLeast"/>
        </w:trPr>
        <w:tc>
          <w:tcPr>
            <w:tcW w:w="2112" w:type="dxa"/>
            <w:vMerge w:val="continue"/>
            <w:tcBorders>
              <w:top w:val="single" w:color="auto" w:sz="4" w:space="0"/>
              <w:left w:val="single" w:color="000000" w:sz="4" w:space="0"/>
              <w:bottom w:val="single" w:color="auto" w:sz="4" w:space="0"/>
              <w:right w:val="single" w:color="000000" w:sz="4" w:space="0"/>
            </w:tcBorders>
            <w:noWrap w:val="0"/>
            <w:vAlign w:val="center"/>
          </w:tcPr>
          <w:p w14:paraId="1CBACED8">
            <w:pPr>
              <w:jc w:val="center"/>
              <w:rPr>
                <w:rFonts w:hint="eastAsia" w:ascii="黑体" w:hAnsi="宋体" w:eastAsia="黑体" w:cs="黑体"/>
                <w:i w:val="0"/>
                <w:iCs w:val="0"/>
                <w:color w:val="000000"/>
                <w:sz w:val="24"/>
                <w:szCs w:val="24"/>
                <w:u w:val="none"/>
              </w:rPr>
            </w:pPr>
          </w:p>
        </w:tc>
        <w:tc>
          <w:tcPr>
            <w:tcW w:w="727" w:type="dxa"/>
            <w:tcBorders>
              <w:top w:val="single" w:color="000000" w:sz="4" w:space="0"/>
              <w:left w:val="single" w:color="000000" w:sz="4" w:space="0"/>
              <w:bottom w:val="single" w:color="000000" w:sz="4" w:space="0"/>
              <w:right w:val="single" w:color="000000" w:sz="4" w:space="0"/>
            </w:tcBorders>
            <w:noWrap w:val="0"/>
            <w:vAlign w:val="center"/>
          </w:tcPr>
          <w:p w14:paraId="55F67155">
            <w:pPr>
              <w:keepNext w:val="0"/>
              <w:keepLines w:val="0"/>
              <w:widowControl/>
              <w:suppressLineNumbers w:val="0"/>
              <w:jc w:val="center"/>
              <w:textAlignment w:val="center"/>
              <w:rPr>
                <w:rFonts w:hint="default"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kern w:val="0"/>
                <w:position w:val="0"/>
                <w:sz w:val="24"/>
                <w:szCs w:val="24"/>
                <w:u w:val="none"/>
                <w:lang w:val="en-US" w:eastAsia="zh-CN" w:bidi="ar"/>
              </w:rPr>
              <w:t>15</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76E018B5">
            <w:pPr>
              <w:pStyle w:val="8"/>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outlineLvl w:val="9"/>
              <w:rPr>
                <w:rFonts w:hint="eastAsia" w:ascii="仿宋_GB2312" w:hAnsi="仿宋_GB2312" w:eastAsia="仿宋_GB2312" w:cs="仿宋_GB2312"/>
                <w:sz w:val="32"/>
                <w:szCs w:val="32"/>
                <w:lang w:val="en-US" w:eastAsia="zh-CN"/>
              </w:rPr>
            </w:pPr>
            <w:r>
              <w:rPr>
                <w:rFonts w:hint="eastAsia" w:ascii="仿宋" w:hAnsi="仿宋" w:eastAsia="仿宋" w:cs="仿宋"/>
                <w:i w:val="0"/>
                <w:iCs w:val="0"/>
                <w:color w:val="000000"/>
                <w:kern w:val="0"/>
                <w:position w:val="0"/>
                <w:sz w:val="24"/>
                <w:szCs w:val="24"/>
                <w:highlight w:val="none"/>
                <w:u w:val="none"/>
                <w:lang w:val="en-US" w:eastAsia="zh-CN" w:bidi="ar"/>
              </w:rPr>
              <w:t>查看是否开展反诈宣传进校园主题宣传活动；是否宣贯《反电信网络诈骗法》；是否以案为鉴开展警示教育。各院系</w:t>
            </w:r>
            <w:r>
              <w:rPr>
                <w:rFonts w:hint="eastAsia" w:cs="仿宋"/>
                <w:i w:val="0"/>
                <w:iCs w:val="0"/>
                <w:color w:val="000000"/>
                <w:kern w:val="0"/>
                <w:position w:val="0"/>
                <w:sz w:val="24"/>
                <w:szCs w:val="24"/>
                <w:highlight w:val="none"/>
                <w:u w:val="none"/>
                <w:lang w:val="en-US" w:eastAsia="zh-CN" w:bidi="ar"/>
              </w:rPr>
              <w:t>是否</w:t>
            </w:r>
            <w:r>
              <w:rPr>
                <w:rFonts w:hint="eastAsia" w:ascii="仿宋" w:hAnsi="仿宋" w:eastAsia="仿宋" w:cs="仿宋"/>
                <w:i w:val="0"/>
                <w:iCs w:val="0"/>
                <w:color w:val="000000"/>
                <w:kern w:val="0"/>
                <w:position w:val="0"/>
                <w:sz w:val="24"/>
                <w:szCs w:val="24"/>
                <w:highlight w:val="none"/>
                <w:u w:val="none"/>
                <w:lang w:val="en-US" w:eastAsia="zh-CN" w:bidi="ar"/>
              </w:rPr>
              <w:t>通过主题班会、网上知识学习等方式开展反诈工作，开展学生家长反诈防范宣传工作，通过家长微信群、QQ群等平台通报被骗典型案例、普及防诈常识；各部门、院系</w:t>
            </w:r>
            <w:r>
              <w:rPr>
                <w:rFonts w:hint="eastAsia" w:cs="仿宋"/>
                <w:i w:val="0"/>
                <w:iCs w:val="0"/>
                <w:color w:val="000000"/>
                <w:kern w:val="0"/>
                <w:position w:val="0"/>
                <w:sz w:val="24"/>
                <w:szCs w:val="24"/>
                <w:highlight w:val="none"/>
                <w:u w:val="none"/>
                <w:lang w:val="en-US" w:eastAsia="zh-CN" w:bidi="ar"/>
              </w:rPr>
              <w:t>是否</w:t>
            </w:r>
            <w:r>
              <w:rPr>
                <w:rFonts w:hint="eastAsia" w:ascii="仿宋" w:hAnsi="仿宋" w:eastAsia="仿宋" w:cs="仿宋"/>
                <w:i w:val="0"/>
                <w:iCs w:val="0"/>
                <w:color w:val="000000"/>
                <w:kern w:val="0"/>
                <w:position w:val="0"/>
                <w:sz w:val="24"/>
                <w:szCs w:val="24"/>
                <w:highlight w:val="none"/>
                <w:u w:val="none"/>
                <w:lang w:val="en-US" w:eastAsia="zh-CN" w:bidi="ar"/>
              </w:rPr>
              <w:t>立即开展1次宣传活动，寒假学生离校前</w:t>
            </w:r>
            <w:r>
              <w:rPr>
                <w:rFonts w:hint="eastAsia" w:cs="仿宋"/>
                <w:i w:val="0"/>
                <w:iCs w:val="0"/>
                <w:color w:val="000000"/>
                <w:kern w:val="0"/>
                <w:position w:val="0"/>
                <w:sz w:val="24"/>
                <w:szCs w:val="24"/>
                <w:highlight w:val="none"/>
                <w:u w:val="none"/>
                <w:lang w:val="en-US" w:eastAsia="zh-CN" w:bidi="ar"/>
              </w:rPr>
              <w:t>是否计划</w:t>
            </w:r>
            <w:r>
              <w:rPr>
                <w:rFonts w:hint="eastAsia" w:ascii="仿宋" w:hAnsi="仿宋" w:eastAsia="仿宋" w:cs="仿宋"/>
                <w:i w:val="0"/>
                <w:iCs w:val="0"/>
                <w:color w:val="000000"/>
                <w:kern w:val="0"/>
                <w:position w:val="0"/>
                <w:sz w:val="24"/>
                <w:szCs w:val="24"/>
                <w:highlight w:val="none"/>
                <w:u w:val="none"/>
                <w:lang w:val="en-US" w:eastAsia="zh-CN" w:bidi="ar"/>
              </w:rPr>
              <w:t>再集中开展1次专题宣教活动。</w:t>
            </w:r>
          </w:p>
          <w:p w14:paraId="54CAC658">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sz w:val="24"/>
                <w:szCs w:val="24"/>
                <w:u w:val="none"/>
              </w:rPr>
            </w:pP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0BCE3A8B">
            <w:pPr>
              <w:jc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sz w:val="24"/>
                <w:szCs w:val="24"/>
                <w:u w:val="none"/>
                <w:lang w:val="en-US" w:eastAsia="zh-CN"/>
              </w:rPr>
              <w:t>全校各部门、院系</w:t>
            </w:r>
          </w:p>
        </w:tc>
        <w:tc>
          <w:tcPr>
            <w:tcW w:w="1725" w:type="dxa"/>
            <w:tcBorders>
              <w:top w:val="single" w:color="000000" w:sz="4" w:space="0"/>
              <w:left w:val="single" w:color="000000" w:sz="4" w:space="0"/>
              <w:bottom w:val="single" w:color="000000" w:sz="4" w:space="0"/>
              <w:right w:val="single" w:color="000000" w:sz="4" w:space="0"/>
            </w:tcBorders>
            <w:noWrap w:val="0"/>
            <w:vAlign w:val="center"/>
          </w:tcPr>
          <w:p w14:paraId="5CBA2E15">
            <w:pPr>
              <w:rPr>
                <w:rFonts w:hint="eastAsia" w:ascii="仿宋" w:hAnsi="仿宋" w:eastAsia="仿宋" w:cs="仿宋"/>
                <w:i w:val="0"/>
                <w:iCs w:val="0"/>
                <w:color w:val="000000"/>
                <w:sz w:val="24"/>
                <w:szCs w:val="24"/>
                <w:u w:val="none"/>
              </w:rPr>
            </w:pPr>
          </w:p>
        </w:tc>
      </w:tr>
      <w:tr w14:paraId="189D1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7" w:hRule="atLeast"/>
        </w:trPr>
        <w:tc>
          <w:tcPr>
            <w:tcW w:w="2112" w:type="dxa"/>
            <w:vMerge w:val="continue"/>
            <w:tcBorders>
              <w:top w:val="single" w:color="auto" w:sz="4" w:space="0"/>
              <w:left w:val="single" w:color="000000" w:sz="4" w:space="0"/>
              <w:bottom w:val="single" w:color="auto" w:sz="4" w:space="0"/>
              <w:right w:val="single" w:color="000000" w:sz="4" w:space="0"/>
            </w:tcBorders>
            <w:noWrap w:val="0"/>
            <w:vAlign w:val="center"/>
          </w:tcPr>
          <w:p w14:paraId="18812776">
            <w:pPr>
              <w:jc w:val="center"/>
              <w:rPr>
                <w:rFonts w:hint="eastAsia" w:ascii="黑体" w:hAnsi="宋体" w:eastAsia="黑体" w:cs="黑体"/>
                <w:i w:val="0"/>
                <w:iCs w:val="0"/>
                <w:color w:val="000000"/>
                <w:sz w:val="24"/>
                <w:szCs w:val="24"/>
                <w:u w:val="none"/>
              </w:rPr>
            </w:pPr>
          </w:p>
        </w:tc>
        <w:tc>
          <w:tcPr>
            <w:tcW w:w="727" w:type="dxa"/>
            <w:tcBorders>
              <w:top w:val="single" w:color="000000" w:sz="4" w:space="0"/>
              <w:left w:val="single" w:color="000000" w:sz="4" w:space="0"/>
              <w:bottom w:val="single" w:color="000000" w:sz="4" w:space="0"/>
              <w:right w:val="single" w:color="000000" w:sz="4" w:space="0"/>
            </w:tcBorders>
            <w:noWrap w:val="0"/>
            <w:vAlign w:val="center"/>
          </w:tcPr>
          <w:p w14:paraId="62CA2C46">
            <w:pPr>
              <w:keepNext w:val="0"/>
              <w:keepLines w:val="0"/>
              <w:widowControl/>
              <w:suppressLineNumbers w:val="0"/>
              <w:jc w:val="center"/>
              <w:textAlignment w:val="center"/>
              <w:rPr>
                <w:rFonts w:hint="default"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kern w:val="0"/>
                <w:position w:val="0"/>
                <w:sz w:val="24"/>
                <w:szCs w:val="24"/>
                <w:u w:val="none"/>
                <w:lang w:val="en-US" w:eastAsia="zh-CN" w:bidi="ar"/>
              </w:rPr>
              <w:t>16</w:t>
            </w:r>
          </w:p>
        </w:tc>
        <w:tc>
          <w:tcPr>
            <w:tcW w:w="5228" w:type="dxa"/>
            <w:tcBorders>
              <w:top w:val="single" w:color="000000" w:sz="4" w:space="0"/>
              <w:left w:val="single" w:color="000000" w:sz="4" w:space="0"/>
              <w:bottom w:val="single" w:color="000000" w:sz="4" w:space="0"/>
              <w:right w:val="single" w:color="000000" w:sz="4" w:space="0"/>
            </w:tcBorders>
            <w:noWrap w:val="0"/>
            <w:vAlign w:val="center"/>
          </w:tcPr>
          <w:p w14:paraId="71E40256">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position w:val="0"/>
                <w:sz w:val="24"/>
                <w:szCs w:val="24"/>
                <w:u w:val="none"/>
                <w:lang w:val="en-US" w:eastAsia="zh-CN" w:bidi="ar"/>
              </w:rPr>
              <w:t>查看学校是否开展疏散逃生演练，查看演练记录（包括图片、视频、新闻报道等）。</w:t>
            </w:r>
          </w:p>
        </w:tc>
        <w:tc>
          <w:tcPr>
            <w:tcW w:w="3975" w:type="dxa"/>
            <w:tcBorders>
              <w:top w:val="single" w:color="000000" w:sz="4" w:space="0"/>
              <w:left w:val="single" w:color="000000" w:sz="4" w:space="0"/>
              <w:bottom w:val="single" w:color="000000" w:sz="4" w:space="0"/>
              <w:right w:val="single" w:color="000000" w:sz="4" w:space="0"/>
            </w:tcBorders>
            <w:noWrap w:val="0"/>
            <w:vAlign w:val="center"/>
          </w:tcPr>
          <w:p w14:paraId="10930801">
            <w:pPr>
              <w:jc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sz w:val="24"/>
                <w:szCs w:val="24"/>
                <w:u w:val="none"/>
                <w:lang w:val="en-US" w:eastAsia="zh-CN"/>
              </w:rPr>
              <w:t>全校各部门、院系</w:t>
            </w:r>
          </w:p>
        </w:tc>
        <w:tc>
          <w:tcPr>
            <w:tcW w:w="1725" w:type="dxa"/>
            <w:tcBorders>
              <w:top w:val="single" w:color="000000" w:sz="4" w:space="0"/>
              <w:left w:val="single" w:color="000000" w:sz="4" w:space="0"/>
              <w:bottom w:val="single" w:color="000000" w:sz="4" w:space="0"/>
              <w:right w:val="single" w:color="000000" w:sz="4" w:space="0"/>
            </w:tcBorders>
            <w:noWrap w:val="0"/>
            <w:vAlign w:val="center"/>
          </w:tcPr>
          <w:p w14:paraId="3E1B91EA">
            <w:pPr>
              <w:rPr>
                <w:rFonts w:hint="eastAsia" w:ascii="仿宋" w:hAnsi="仿宋" w:eastAsia="仿宋" w:cs="仿宋"/>
                <w:i w:val="0"/>
                <w:iCs w:val="0"/>
                <w:color w:val="000000"/>
                <w:sz w:val="24"/>
                <w:szCs w:val="24"/>
                <w:u w:val="none"/>
              </w:rPr>
            </w:pPr>
          </w:p>
        </w:tc>
      </w:tr>
      <w:tr w14:paraId="72FC7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2112" w:type="dxa"/>
            <w:tcBorders>
              <w:top w:val="single" w:color="auto" w:sz="4" w:space="0"/>
              <w:left w:val="single" w:color="000000" w:sz="4" w:space="0"/>
              <w:bottom w:val="single" w:color="auto" w:sz="4" w:space="0"/>
              <w:right w:val="single" w:color="000000" w:sz="4" w:space="0"/>
            </w:tcBorders>
            <w:noWrap w:val="0"/>
            <w:vAlign w:val="center"/>
          </w:tcPr>
          <w:p w14:paraId="509967F0">
            <w:pPr>
              <w:jc w:val="center"/>
              <w:rPr>
                <w:rFonts w:hint="eastAsia" w:ascii="黑体" w:hAnsi="宋体" w:eastAsia="黑体" w:cs="黑体"/>
                <w:i w:val="0"/>
                <w:iCs w:val="0"/>
                <w:color w:val="000000"/>
                <w:sz w:val="24"/>
                <w:szCs w:val="24"/>
                <w:u w:val="none"/>
                <w:lang w:eastAsia="zh-CN"/>
              </w:rPr>
            </w:pPr>
            <w:r>
              <w:rPr>
                <w:rFonts w:hint="eastAsia" w:ascii="黑体" w:hAnsi="宋体" w:eastAsia="黑体" w:cs="黑体"/>
                <w:i w:val="0"/>
                <w:iCs w:val="0"/>
                <w:color w:val="000000"/>
                <w:sz w:val="24"/>
                <w:szCs w:val="24"/>
                <w:u w:val="none"/>
                <w:lang w:val="en-US" w:eastAsia="zh-CN"/>
              </w:rPr>
              <w:t>其他。</w:t>
            </w:r>
          </w:p>
        </w:tc>
        <w:tc>
          <w:tcPr>
            <w:tcW w:w="727" w:type="dxa"/>
            <w:tcBorders>
              <w:top w:val="single" w:color="000000" w:sz="4" w:space="0"/>
              <w:left w:val="single" w:color="000000" w:sz="4" w:space="0"/>
              <w:bottom w:val="single" w:color="auto" w:sz="4" w:space="0"/>
              <w:right w:val="single" w:color="000000" w:sz="4" w:space="0"/>
            </w:tcBorders>
            <w:noWrap w:val="0"/>
            <w:vAlign w:val="center"/>
          </w:tcPr>
          <w:p w14:paraId="2AC3764E">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17</w:t>
            </w:r>
          </w:p>
        </w:tc>
        <w:tc>
          <w:tcPr>
            <w:tcW w:w="5228" w:type="dxa"/>
            <w:tcBorders>
              <w:top w:val="single" w:color="000000" w:sz="4" w:space="0"/>
              <w:left w:val="single" w:color="000000" w:sz="4" w:space="0"/>
              <w:bottom w:val="single" w:color="auto" w:sz="4" w:space="0"/>
              <w:right w:val="single" w:color="000000" w:sz="4" w:space="0"/>
            </w:tcBorders>
            <w:noWrap w:val="0"/>
            <w:vAlign w:val="center"/>
          </w:tcPr>
          <w:p w14:paraId="77AE253F">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position w:val="0"/>
                <w:sz w:val="24"/>
                <w:szCs w:val="24"/>
                <w:u w:val="none"/>
                <w:lang w:val="en-US" w:eastAsia="zh-CN" w:bidi="ar"/>
              </w:rPr>
              <w:t>各院（系）要教育提醒学生离开宿舍时关闭各类电器拔下插座，防止长时间充电无人看管或因过度充电引发火灾；督促学生及时清理宿舍内生活垃圾下楼，保持室内干净整洁，避免滋生细菌引起疾病。各部门、院系要安排专人自查，做到下班断电，特别是周六日、节假日期间关闭各类用电设备，及时拔下插座。各部门、院系妥善安排好教育教学、假期值班与安全防范等工作，各院系重点做好学生的交通、人身安全和防火防盗教育，严格执行请销假制度。如遇突发情况，按照学校相关规定及时报告并妥善处置。</w:t>
            </w:r>
          </w:p>
        </w:tc>
        <w:tc>
          <w:tcPr>
            <w:tcW w:w="3975" w:type="dxa"/>
            <w:tcBorders>
              <w:top w:val="single" w:color="000000" w:sz="4" w:space="0"/>
              <w:left w:val="single" w:color="000000" w:sz="4" w:space="0"/>
              <w:bottom w:val="single" w:color="auto" w:sz="4" w:space="0"/>
              <w:right w:val="single" w:color="000000" w:sz="4" w:space="0"/>
            </w:tcBorders>
            <w:noWrap w:val="0"/>
            <w:vAlign w:val="center"/>
          </w:tcPr>
          <w:p w14:paraId="15A4B312">
            <w:pPr>
              <w:jc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sz w:val="24"/>
                <w:szCs w:val="24"/>
                <w:u w:val="none"/>
                <w:lang w:val="en-US" w:eastAsia="zh-CN"/>
              </w:rPr>
              <w:t>全校各部门、院系</w:t>
            </w:r>
          </w:p>
        </w:tc>
        <w:tc>
          <w:tcPr>
            <w:tcW w:w="1725" w:type="dxa"/>
            <w:tcBorders>
              <w:top w:val="single" w:color="000000" w:sz="4" w:space="0"/>
              <w:left w:val="single" w:color="000000" w:sz="4" w:space="0"/>
              <w:bottom w:val="single" w:color="auto" w:sz="4" w:space="0"/>
              <w:right w:val="single" w:color="000000" w:sz="4" w:space="0"/>
            </w:tcBorders>
            <w:noWrap w:val="0"/>
            <w:vAlign w:val="center"/>
          </w:tcPr>
          <w:p w14:paraId="741965D4">
            <w:pPr>
              <w:rPr>
                <w:rFonts w:hint="eastAsia" w:ascii="仿宋" w:hAnsi="仿宋" w:eastAsia="仿宋" w:cs="仿宋"/>
                <w:i w:val="0"/>
                <w:iCs w:val="0"/>
                <w:color w:val="000000"/>
                <w:sz w:val="24"/>
                <w:szCs w:val="24"/>
                <w:u w:val="none"/>
              </w:rPr>
            </w:pPr>
          </w:p>
        </w:tc>
      </w:tr>
    </w:tbl>
    <w:p w14:paraId="463DAB32">
      <w:pPr>
        <w:pStyle w:val="2"/>
        <w:ind w:left="0" w:leftChars="0" w:firstLine="0" w:firstLineChars="0"/>
        <w:rPr>
          <w:rFonts w:hint="eastAsia" w:ascii="黑体" w:hAnsi="黑体" w:eastAsia="黑体" w:cs="黑体"/>
          <w:b w:val="0"/>
          <w:bCs w:val="0"/>
          <w:snapToGrid w:val="0"/>
          <w:kern w:val="0"/>
          <w:sz w:val="32"/>
          <w:szCs w:val="32"/>
          <w:highlight w:val="none"/>
          <w:lang w:val="en-US" w:eastAsia="zh-CN"/>
        </w:rPr>
        <w:sectPr>
          <w:pgSz w:w="16838" w:h="11906" w:orient="landscape"/>
          <w:pgMar w:top="1531" w:right="1440" w:bottom="1531" w:left="1440" w:header="851" w:footer="992" w:gutter="0"/>
          <w:pgBorders>
            <w:top w:val="none" w:sz="0" w:space="0"/>
            <w:left w:val="none" w:sz="0" w:space="0"/>
            <w:bottom w:val="none" w:sz="0" w:space="0"/>
            <w:right w:val="none" w:sz="0" w:space="0"/>
          </w:pgBorders>
          <w:pgNumType w:fmt="decimal"/>
          <w:cols w:space="720" w:num="1"/>
          <w:rtlGutter w:val="0"/>
          <w:docGrid w:type="lines" w:linePitch="315" w:charSpace="0"/>
        </w:sectPr>
      </w:pPr>
    </w:p>
    <w:p w14:paraId="448C298F">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附件3</w:t>
      </w:r>
    </w:p>
    <w:p w14:paraId="4B1EDB64">
      <w:pPr>
        <w:jc w:val="center"/>
        <w:rPr>
          <w:rFonts w:hint="default" w:ascii="宋体" w:hAnsi="宋体" w:eastAsia="宋体" w:cs="Times New Roman"/>
          <w:b/>
          <w:sz w:val="36"/>
          <w:szCs w:val="36"/>
          <w:lang w:val="en-US" w:eastAsia="zh-CN"/>
        </w:rPr>
      </w:pPr>
      <w:r>
        <w:rPr>
          <w:rFonts w:hint="eastAsia" w:ascii="宋体" w:hAnsi="宋体" w:eastAsia="宋体" w:cs="Times New Roman"/>
          <w:b/>
          <w:sz w:val="36"/>
          <w:szCs w:val="36"/>
          <w:lang w:val="en-US" w:eastAsia="zh-CN"/>
        </w:rPr>
        <w:t>XXXX学院（系、部、处）安全隐患大排查大整治工作</w:t>
      </w:r>
      <w:r>
        <w:rPr>
          <w:rFonts w:hint="eastAsia" w:ascii="宋体" w:hAnsi="宋体" w:cs="Times New Roman"/>
          <w:b/>
          <w:sz w:val="36"/>
          <w:szCs w:val="36"/>
          <w:lang w:val="en-US" w:eastAsia="zh-CN"/>
        </w:rPr>
        <w:t>暨反诈工作</w:t>
      </w:r>
      <w:r>
        <w:rPr>
          <w:rFonts w:hint="eastAsia" w:ascii="宋体" w:hAnsi="宋体" w:eastAsia="宋体" w:cs="Times New Roman"/>
          <w:b/>
          <w:sz w:val="36"/>
          <w:szCs w:val="36"/>
          <w:lang w:val="en-US" w:eastAsia="zh-CN"/>
        </w:rPr>
        <w:t>总结报告</w:t>
      </w:r>
    </w:p>
    <w:p w14:paraId="21616854">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（模板）</w:t>
      </w:r>
    </w:p>
    <w:p w14:paraId="1797B838">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sz w:val="32"/>
          <w:szCs w:val="32"/>
        </w:rPr>
      </w:pPr>
      <w:r>
        <w:rPr>
          <w:rFonts w:ascii="黑体" w:hAnsi="宋体" w:eastAsia="黑体" w:cs="黑体"/>
          <w:color w:val="000000"/>
          <w:kern w:val="0"/>
          <w:sz w:val="32"/>
          <w:szCs w:val="32"/>
          <w:lang w:val="en-US" w:eastAsia="zh-CN" w:bidi="ar"/>
        </w:rPr>
        <w:t>一、</w:t>
      </w:r>
      <w:r>
        <w:rPr>
          <w:rFonts w:hint="eastAsia" w:ascii="黑体" w:hAnsi="宋体" w:eastAsia="黑体" w:cs="黑体"/>
          <w:color w:val="000000"/>
          <w:kern w:val="0"/>
          <w:sz w:val="32"/>
          <w:szCs w:val="32"/>
          <w:lang w:val="en-US" w:eastAsia="zh-CN" w:bidi="ar"/>
        </w:rPr>
        <w:t>排查整治</w:t>
      </w:r>
      <w:r>
        <w:rPr>
          <w:rFonts w:ascii="黑体" w:hAnsi="宋体" w:eastAsia="黑体" w:cs="黑体"/>
          <w:color w:val="000000"/>
          <w:kern w:val="0"/>
          <w:sz w:val="32"/>
          <w:szCs w:val="32"/>
          <w:lang w:val="en-US" w:eastAsia="zh-CN" w:bidi="ar"/>
        </w:rPr>
        <w:t xml:space="preserve">工作开展情况 </w:t>
      </w:r>
    </w:p>
    <w:p w14:paraId="1267C05D">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default"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本部门消防安全暨安全隐患大排查大整治工作总体情况，包括研究制定工作方案，沟通协调有关部门，组织开展时间、方式，隐患排查整治的范围、区域等情况。</w:t>
      </w:r>
    </w:p>
    <w:p w14:paraId="6E139C21">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ascii="黑体" w:hAnsi="宋体" w:eastAsia="黑体" w:cs="黑体"/>
          <w:color w:val="000000"/>
          <w:kern w:val="0"/>
          <w:sz w:val="32"/>
          <w:szCs w:val="32"/>
          <w:lang w:val="en-US" w:eastAsia="zh-CN" w:bidi="ar"/>
        </w:rPr>
      </w:pPr>
      <w:r>
        <w:rPr>
          <w:rFonts w:hint="eastAsia" w:ascii="黑体" w:hAnsi="宋体" w:eastAsia="黑体" w:cs="黑体"/>
          <w:color w:val="000000"/>
          <w:kern w:val="0"/>
          <w:sz w:val="32"/>
          <w:szCs w:val="32"/>
          <w:lang w:val="en-US" w:eastAsia="zh-CN" w:bidi="ar"/>
        </w:rPr>
        <w:t xml:space="preserve">二、排查发现的问题和整改完成情况 </w:t>
      </w:r>
      <w:r>
        <w:rPr>
          <w:rFonts w:hint="eastAsia" w:ascii="仿宋_GB2312" w:hAnsi="仿宋_GB2312" w:eastAsia="仿宋_GB2312" w:cs="仿宋_GB2312"/>
          <w:color w:val="000000"/>
          <w:kern w:val="0"/>
          <w:sz w:val="32"/>
          <w:szCs w:val="32"/>
          <w:lang w:val="en-US" w:eastAsia="zh-CN" w:bidi="ar"/>
        </w:rPr>
        <w:t>（如实对以下6项排查内容和整改完成情况进行说明，并分别注明排查发现问题数量，立行立改问题数量，未能立行立改挂账督办问题数量）</w:t>
      </w:r>
    </w:p>
    <w:p w14:paraId="10D493CC">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eastAsia" w:ascii="楷体_GB2312" w:hAnsi="楷体_GB2312" w:eastAsia="楷体_GB2312" w:cs="楷体_GB2312"/>
          <w:color w:val="000000"/>
          <w:kern w:val="0"/>
          <w:sz w:val="32"/>
          <w:szCs w:val="32"/>
          <w:lang w:val="en-US" w:eastAsia="zh-CN" w:bidi="ar"/>
        </w:rPr>
      </w:pPr>
      <w:r>
        <w:rPr>
          <w:rFonts w:hint="eastAsia" w:ascii="楷体_GB2312" w:hAnsi="楷体_GB2312" w:eastAsia="楷体_GB2312" w:cs="楷体_GB2312"/>
          <w:color w:val="000000"/>
          <w:kern w:val="0"/>
          <w:sz w:val="32"/>
          <w:szCs w:val="32"/>
          <w:lang w:val="en-US" w:eastAsia="zh-CN" w:bidi="ar"/>
        </w:rPr>
        <w:t>1.安全工作主体责任落实情况。</w:t>
      </w:r>
    </w:p>
    <w:p w14:paraId="58FA8AC7">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default" w:ascii="楷体_GB2312" w:hAnsi="楷体_GB2312" w:eastAsia="楷体_GB2312" w:cs="楷体_GB2312"/>
          <w:color w:val="000000"/>
          <w:kern w:val="0"/>
          <w:sz w:val="32"/>
          <w:szCs w:val="32"/>
          <w:lang w:val="en-US" w:eastAsia="zh-CN" w:bidi="ar"/>
        </w:rPr>
      </w:pPr>
      <w:r>
        <w:rPr>
          <w:rFonts w:hint="default" w:ascii="楷体_GB2312" w:hAnsi="楷体_GB2312" w:eastAsia="楷体_GB2312" w:cs="楷体_GB2312"/>
          <w:color w:val="000000"/>
          <w:kern w:val="0"/>
          <w:sz w:val="32"/>
          <w:szCs w:val="32"/>
          <w:lang w:val="en-US" w:eastAsia="zh-CN" w:bidi="ar"/>
        </w:rPr>
        <w:t>…</w:t>
      </w:r>
    </w:p>
    <w:p w14:paraId="5D904EF2">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eastAsia" w:ascii="楷体_GB2312" w:hAnsi="楷体_GB2312" w:eastAsia="楷体_GB2312" w:cs="楷体_GB2312"/>
          <w:color w:val="000000"/>
          <w:kern w:val="0"/>
          <w:sz w:val="32"/>
          <w:szCs w:val="32"/>
          <w:lang w:val="en-US" w:eastAsia="zh-CN" w:bidi="ar"/>
        </w:rPr>
      </w:pPr>
      <w:r>
        <w:rPr>
          <w:rFonts w:hint="eastAsia" w:ascii="楷体_GB2312" w:hAnsi="楷体_GB2312" w:eastAsia="楷体_GB2312" w:cs="楷体_GB2312"/>
          <w:color w:val="000000"/>
          <w:kern w:val="0"/>
          <w:sz w:val="32"/>
          <w:szCs w:val="32"/>
          <w:lang w:val="en-US" w:eastAsia="zh-CN" w:bidi="ar"/>
        </w:rPr>
        <w:t>2.日常安全管理情况，包括校园反诈、消防安全、食堂建设、食品安全、燃气安全、校舍安全、实验室安全。</w:t>
      </w:r>
    </w:p>
    <w:p w14:paraId="72BD1539">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eastAsia" w:ascii="楷体_GB2312" w:hAnsi="楷体_GB2312" w:eastAsia="楷体_GB2312" w:cs="楷体_GB2312"/>
          <w:color w:val="000000"/>
          <w:kern w:val="0"/>
          <w:sz w:val="32"/>
          <w:szCs w:val="32"/>
          <w:lang w:val="en-US" w:eastAsia="zh-CN" w:bidi="ar"/>
        </w:rPr>
      </w:pPr>
      <w:r>
        <w:rPr>
          <w:rFonts w:hint="default" w:ascii="楷体_GB2312" w:hAnsi="楷体_GB2312" w:eastAsia="楷体_GB2312" w:cs="楷体_GB2312"/>
          <w:color w:val="000000"/>
          <w:kern w:val="0"/>
          <w:sz w:val="32"/>
          <w:szCs w:val="32"/>
          <w:lang w:val="en-US" w:eastAsia="zh-CN" w:bidi="ar"/>
        </w:rPr>
        <w:t>…</w:t>
      </w:r>
    </w:p>
    <w:p w14:paraId="587C9464">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eastAsia" w:ascii="楷体_GB2312" w:hAnsi="楷体_GB2312" w:eastAsia="楷体_GB2312" w:cs="楷体_GB2312"/>
          <w:color w:val="000000"/>
          <w:kern w:val="0"/>
          <w:sz w:val="32"/>
          <w:szCs w:val="32"/>
          <w:lang w:val="en-US" w:eastAsia="zh-CN" w:bidi="ar"/>
        </w:rPr>
      </w:pPr>
      <w:r>
        <w:rPr>
          <w:rFonts w:hint="eastAsia" w:ascii="楷体_GB2312" w:hAnsi="楷体_GB2312" w:eastAsia="楷体_GB2312" w:cs="楷体_GB2312"/>
          <w:color w:val="000000"/>
          <w:kern w:val="0"/>
          <w:sz w:val="32"/>
          <w:szCs w:val="32"/>
          <w:lang w:val="en-US" w:eastAsia="zh-CN" w:bidi="ar"/>
        </w:rPr>
        <w:t>3.交通和校车管理情况。</w:t>
      </w:r>
    </w:p>
    <w:p w14:paraId="224A4E4C">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default" w:ascii="楷体_GB2312" w:hAnsi="楷体_GB2312" w:eastAsia="楷体_GB2312" w:cs="楷体_GB2312"/>
          <w:color w:val="000000"/>
          <w:kern w:val="0"/>
          <w:sz w:val="32"/>
          <w:szCs w:val="32"/>
          <w:lang w:val="en-US" w:eastAsia="zh-CN" w:bidi="ar"/>
        </w:rPr>
      </w:pPr>
      <w:r>
        <w:rPr>
          <w:rFonts w:hint="default" w:ascii="楷体_GB2312" w:hAnsi="楷体_GB2312" w:eastAsia="楷体_GB2312" w:cs="楷体_GB2312"/>
          <w:color w:val="000000"/>
          <w:kern w:val="0"/>
          <w:sz w:val="32"/>
          <w:szCs w:val="32"/>
          <w:lang w:val="en-US" w:eastAsia="zh-CN" w:bidi="ar"/>
        </w:rPr>
        <w:t>…</w:t>
      </w:r>
    </w:p>
    <w:p w14:paraId="439BE13E">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eastAsia" w:ascii="楷体_GB2312" w:hAnsi="楷体_GB2312" w:eastAsia="楷体_GB2312" w:cs="楷体_GB2312"/>
          <w:color w:val="000000"/>
          <w:kern w:val="0"/>
          <w:sz w:val="32"/>
          <w:szCs w:val="32"/>
          <w:lang w:val="en-US" w:eastAsia="zh-CN" w:bidi="ar"/>
        </w:rPr>
      </w:pPr>
      <w:r>
        <w:rPr>
          <w:rFonts w:hint="eastAsia" w:ascii="楷体_GB2312" w:hAnsi="楷体_GB2312" w:eastAsia="楷体_GB2312" w:cs="楷体_GB2312"/>
          <w:color w:val="000000"/>
          <w:kern w:val="0"/>
          <w:sz w:val="32"/>
          <w:szCs w:val="32"/>
          <w:lang w:val="en-US" w:eastAsia="zh-CN" w:bidi="ar"/>
        </w:rPr>
        <w:t>4.反诈宣贯情况。</w:t>
      </w:r>
    </w:p>
    <w:p w14:paraId="1103A705">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default" w:ascii="楷体_GB2312" w:hAnsi="楷体_GB2312" w:eastAsia="楷体_GB2312" w:cs="楷体_GB2312"/>
          <w:color w:val="000000"/>
          <w:kern w:val="0"/>
          <w:sz w:val="32"/>
          <w:szCs w:val="32"/>
          <w:lang w:val="en-US" w:eastAsia="zh-CN" w:bidi="ar"/>
        </w:rPr>
      </w:pPr>
      <w:r>
        <w:rPr>
          <w:rFonts w:hint="default" w:ascii="楷体_GB2312" w:hAnsi="楷体_GB2312" w:eastAsia="楷体_GB2312" w:cs="楷体_GB2312"/>
          <w:color w:val="000000"/>
          <w:kern w:val="0"/>
          <w:sz w:val="32"/>
          <w:szCs w:val="32"/>
          <w:lang w:val="en-US" w:eastAsia="zh-CN" w:bidi="ar"/>
        </w:rPr>
        <w:t>…</w:t>
      </w:r>
    </w:p>
    <w:p w14:paraId="1A34F8C8">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eastAsia" w:ascii="楷体_GB2312" w:hAnsi="楷体_GB2312" w:eastAsia="楷体_GB2312" w:cs="楷体_GB2312"/>
          <w:color w:val="000000"/>
          <w:kern w:val="0"/>
          <w:sz w:val="32"/>
          <w:szCs w:val="32"/>
          <w:lang w:val="en-US" w:eastAsia="zh-CN" w:bidi="ar"/>
        </w:rPr>
      </w:pPr>
      <w:r>
        <w:rPr>
          <w:rFonts w:hint="eastAsia" w:ascii="楷体_GB2312" w:hAnsi="楷体_GB2312" w:eastAsia="楷体_GB2312" w:cs="楷体_GB2312"/>
          <w:color w:val="000000"/>
          <w:kern w:val="0"/>
          <w:sz w:val="32"/>
          <w:szCs w:val="32"/>
          <w:lang w:val="en-US" w:eastAsia="zh-CN" w:bidi="ar"/>
        </w:rPr>
        <w:t>5.加强师生安全教育及突发事件应急预案与应急演练情况。</w:t>
      </w:r>
    </w:p>
    <w:p w14:paraId="03D2FC9A">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default" w:ascii="楷体_GB2312" w:hAnsi="楷体_GB2312" w:eastAsia="楷体_GB2312" w:cs="楷体_GB2312"/>
          <w:color w:val="000000"/>
          <w:kern w:val="0"/>
          <w:sz w:val="32"/>
          <w:szCs w:val="32"/>
          <w:lang w:val="en-US" w:eastAsia="zh-CN" w:bidi="ar"/>
        </w:rPr>
      </w:pPr>
      <w:r>
        <w:rPr>
          <w:rFonts w:hint="default" w:ascii="楷体_GB2312" w:hAnsi="楷体_GB2312" w:eastAsia="楷体_GB2312" w:cs="楷体_GB2312"/>
          <w:color w:val="000000"/>
          <w:kern w:val="0"/>
          <w:sz w:val="32"/>
          <w:szCs w:val="32"/>
          <w:lang w:val="en-US" w:eastAsia="zh-CN" w:bidi="ar"/>
        </w:rPr>
        <w:t>…</w:t>
      </w:r>
    </w:p>
    <w:p w14:paraId="55B85738">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eastAsia" w:ascii="楷体_GB2312" w:hAnsi="楷体_GB2312" w:eastAsia="楷体_GB2312" w:cs="楷体_GB2312"/>
          <w:color w:val="000000"/>
          <w:kern w:val="0"/>
          <w:sz w:val="32"/>
          <w:szCs w:val="32"/>
          <w:lang w:val="en-US" w:eastAsia="zh-CN" w:bidi="ar"/>
        </w:rPr>
      </w:pPr>
      <w:r>
        <w:rPr>
          <w:rFonts w:hint="eastAsia" w:ascii="楷体_GB2312" w:hAnsi="楷体_GB2312" w:eastAsia="楷体_GB2312" w:cs="楷体_GB2312"/>
          <w:color w:val="000000"/>
          <w:kern w:val="0"/>
          <w:sz w:val="32"/>
          <w:szCs w:val="32"/>
          <w:lang w:val="en-US" w:eastAsia="zh-CN" w:bidi="ar"/>
        </w:rPr>
        <w:t>6.其他。</w:t>
      </w:r>
    </w:p>
    <w:p w14:paraId="591EA383">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default" w:ascii="楷体_GB2312" w:hAnsi="楷体_GB2312" w:eastAsia="楷体_GB2312" w:cs="楷体_GB2312"/>
          <w:color w:val="000000"/>
          <w:kern w:val="0"/>
          <w:sz w:val="32"/>
          <w:szCs w:val="32"/>
          <w:lang w:val="en-US" w:eastAsia="zh-CN" w:bidi="ar"/>
        </w:rPr>
      </w:pPr>
      <w:r>
        <w:rPr>
          <w:rFonts w:hint="default" w:ascii="楷体_GB2312" w:hAnsi="楷体_GB2312" w:eastAsia="楷体_GB2312" w:cs="楷体_GB2312"/>
          <w:color w:val="000000"/>
          <w:kern w:val="0"/>
          <w:sz w:val="32"/>
          <w:szCs w:val="32"/>
          <w:lang w:val="en-US" w:eastAsia="zh-CN" w:bidi="ar"/>
        </w:rPr>
        <w:t>…</w:t>
      </w:r>
    </w:p>
    <w:p w14:paraId="21BE691E">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eastAsia" w:ascii="黑体" w:hAnsi="宋体" w:eastAsia="黑体" w:cs="黑体"/>
          <w:color w:val="000000"/>
          <w:kern w:val="0"/>
          <w:sz w:val="32"/>
          <w:szCs w:val="32"/>
          <w:lang w:val="en-US" w:eastAsia="zh-CN" w:bidi="ar"/>
        </w:rPr>
      </w:pPr>
      <w:r>
        <w:rPr>
          <w:rFonts w:hint="eastAsia" w:ascii="黑体" w:hAnsi="宋体" w:eastAsia="黑体" w:cs="黑体"/>
          <w:color w:val="000000"/>
          <w:kern w:val="0"/>
          <w:sz w:val="32"/>
          <w:szCs w:val="32"/>
          <w:lang w:val="en-US" w:eastAsia="zh-CN" w:bidi="ar"/>
        </w:rPr>
        <w:t xml:space="preserve">三、未能立行立改督办整改问题情况 </w:t>
      </w:r>
    </w:p>
    <w:p w14:paraId="5C6AD45D">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default" w:ascii="仿宋_GB2312" w:eastAsia="仿宋_GB2312"/>
          <w:sz w:val="32"/>
          <w:szCs w:val="32"/>
          <w:lang w:val="en-US" w:eastAsia="zh-CN"/>
        </w:rPr>
      </w:pPr>
      <w:r>
        <w:rPr>
          <w:rFonts w:hint="eastAsia" w:ascii="仿宋_GB2312" w:eastAsia="仿宋_GB2312"/>
          <w:sz w:val="32"/>
          <w:szCs w:val="32"/>
          <w:lang w:val="en-US" w:eastAsia="zh-CN"/>
        </w:rPr>
        <w:t>逐条对未能立行立改问题整改情况描述，包括制定的整改方案、解决措施、资金投入、整改责任人、整改时限、整改效果等，要具体、管用，要明确时间表、路线图，确保整改工作得到实效。</w:t>
      </w:r>
    </w:p>
    <w:p w14:paraId="4CF3BB0D">
      <w:pPr>
        <w:keepNext w:val="0"/>
        <w:keepLines w:val="0"/>
        <w:pageBreakBefore w:val="0"/>
        <w:widowControl/>
        <w:numPr>
          <w:ilvl w:val="0"/>
          <w:numId w:val="3"/>
        </w:numPr>
        <w:suppressLineNumbers w:val="0"/>
        <w:kinsoku/>
        <w:wordWrap/>
        <w:overflowPunct/>
        <w:topLinePunct w:val="0"/>
        <w:autoSpaceDE/>
        <w:autoSpaceDN/>
        <w:bidi w:val="0"/>
        <w:adjustRightInd/>
        <w:snapToGrid/>
        <w:ind w:firstLine="640" w:firstLineChars="200"/>
        <w:jc w:val="both"/>
        <w:textAlignment w:val="auto"/>
        <w:rPr>
          <w:rFonts w:hint="eastAsia" w:ascii="黑体" w:hAnsi="宋体" w:eastAsia="黑体" w:cs="黑体"/>
          <w:color w:val="000000"/>
          <w:kern w:val="0"/>
          <w:sz w:val="32"/>
          <w:szCs w:val="32"/>
          <w:lang w:val="en-US" w:eastAsia="zh-CN" w:bidi="ar"/>
        </w:rPr>
      </w:pPr>
      <w:r>
        <w:rPr>
          <w:rFonts w:hint="eastAsia" w:ascii="黑体" w:hAnsi="宋体" w:eastAsia="黑体" w:cs="黑体"/>
          <w:color w:val="000000"/>
          <w:kern w:val="0"/>
          <w:sz w:val="32"/>
          <w:szCs w:val="32"/>
          <w:lang w:val="en-US" w:eastAsia="zh-CN" w:bidi="ar"/>
        </w:rPr>
        <w:t xml:space="preserve">下一步工作举措 </w:t>
      </w:r>
    </w:p>
    <w:p w14:paraId="481F9474">
      <w:pPr>
        <w:keepNext w:val="0"/>
        <w:keepLines w:val="0"/>
        <w:pageBreakBefore w:val="0"/>
        <w:widowControl/>
        <w:numPr>
          <w:ilvl w:val="0"/>
          <w:numId w:val="0"/>
        </w:numPr>
        <w:suppressLineNumbers w:val="0"/>
        <w:kinsoku/>
        <w:wordWrap/>
        <w:overflowPunct/>
        <w:topLinePunct w:val="0"/>
        <w:autoSpaceDE/>
        <w:autoSpaceDN/>
        <w:bidi w:val="0"/>
        <w:adjustRightInd/>
        <w:snapToGrid/>
        <w:jc w:val="both"/>
        <w:textAlignment w:val="auto"/>
        <w:rPr>
          <w:rFonts w:hint="eastAsia" w:ascii="仿宋_GB2312" w:hAnsi="仿宋_GB2312" w:eastAsia="仿宋_GB2312" w:cs="仿宋_GB2312"/>
          <w:color w:val="000000"/>
          <w:kern w:val="0"/>
          <w:sz w:val="32"/>
          <w:szCs w:val="32"/>
          <w:lang w:val="en-US" w:eastAsia="zh-CN" w:bidi="ar"/>
        </w:rPr>
      </w:pPr>
    </w:p>
    <w:p w14:paraId="7D7D7498">
      <w:pPr>
        <w:keepNext w:val="0"/>
        <w:keepLines w:val="0"/>
        <w:pageBreakBefore w:val="0"/>
        <w:widowControl/>
        <w:numPr>
          <w:ilvl w:val="0"/>
          <w:numId w:val="0"/>
        </w:numPr>
        <w:suppressLineNumbers w:val="0"/>
        <w:kinsoku/>
        <w:wordWrap/>
        <w:overflowPunct/>
        <w:topLinePunct w:val="0"/>
        <w:autoSpaceDE/>
        <w:autoSpaceDN/>
        <w:bidi w:val="0"/>
        <w:adjustRightInd/>
        <w:snapToGrid/>
        <w:jc w:val="both"/>
        <w:textAlignment w:val="auto"/>
        <w:rPr>
          <w:rFonts w:hint="eastAsia" w:ascii="仿宋_GB2312" w:hAnsi="仿宋_GB2312" w:eastAsia="仿宋_GB2312" w:cs="仿宋_GB2312"/>
          <w:color w:val="000000"/>
          <w:kern w:val="0"/>
          <w:sz w:val="32"/>
          <w:szCs w:val="32"/>
          <w:lang w:val="en-US" w:eastAsia="zh-CN" w:bidi="ar"/>
        </w:rPr>
      </w:pPr>
    </w:p>
    <w:p w14:paraId="097D4410">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default" w:ascii="仿宋_GB2312" w:hAnsi="Times New Roman" w:eastAsia="仿宋_GB2312" w:cs="Times New Roman"/>
          <w:sz w:val="32"/>
          <w:szCs w:val="32"/>
          <w:lang w:val="en-US" w:eastAsia="zh-CN"/>
        </w:rPr>
      </w:pPr>
      <w:r>
        <w:rPr>
          <w:rFonts w:hint="eastAsia" w:ascii="仿宋_GB2312" w:hAnsi="仿宋_GB2312" w:eastAsia="仿宋_GB2312" w:cs="仿宋_GB2312"/>
          <w:color w:val="000000"/>
          <w:kern w:val="0"/>
          <w:sz w:val="32"/>
          <w:szCs w:val="32"/>
          <w:lang w:val="en-US" w:eastAsia="zh-CN" w:bidi="ar"/>
        </w:rPr>
        <w:t xml:space="preserve">                                </w:t>
      </w:r>
      <w:r>
        <w:rPr>
          <w:rFonts w:hint="eastAsia" w:ascii="仿宋_GB2312" w:eastAsia="仿宋_GB2312" w:cs="Times New Roman"/>
          <w:sz w:val="32"/>
          <w:szCs w:val="32"/>
          <w:lang w:val="en-US" w:eastAsia="zh-CN"/>
        </w:rPr>
        <w:t>部门</w:t>
      </w:r>
      <w:r>
        <w:rPr>
          <w:rFonts w:hint="eastAsia" w:ascii="仿宋_GB2312" w:hAnsi="Times New Roman" w:eastAsia="仿宋_GB2312" w:cs="Times New Roman"/>
          <w:sz w:val="32"/>
          <w:szCs w:val="32"/>
          <w:lang w:val="en-US" w:eastAsia="zh-CN"/>
        </w:rPr>
        <w:t xml:space="preserve">（盖章）  </w:t>
      </w:r>
    </w:p>
    <w:p w14:paraId="19E629EF">
      <w:pPr>
        <w:keepNext w:val="0"/>
        <w:keepLines w:val="0"/>
        <w:pageBreakBefore w:val="0"/>
        <w:widowControl/>
        <w:suppressLineNumbers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color w:val="000000"/>
          <w:kern w:val="0"/>
          <w:sz w:val="32"/>
          <w:szCs w:val="32"/>
          <w:lang w:val="en-US" w:eastAsia="zh-CN" w:bidi="ar"/>
        </w:rPr>
        <w:sectPr>
          <w:pgSz w:w="11906" w:h="16838"/>
          <w:pgMar w:top="1440" w:right="1800" w:bottom="1440" w:left="1800" w:header="851" w:footer="992" w:gutter="0"/>
          <w:pgNumType w:fmt="decimal"/>
          <w:cols w:space="720" w:num="1"/>
          <w:docGrid w:type="lines" w:linePitch="312" w:charSpace="0"/>
        </w:sectPr>
      </w:pPr>
      <w:r>
        <w:rPr>
          <w:rFonts w:hint="eastAsia" w:ascii="仿宋_GB2312" w:hAnsi="Times New Roman" w:eastAsia="仿宋_GB2312" w:cs="Times New Roman"/>
          <w:sz w:val="32"/>
          <w:szCs w:val="32"/>
          <w:lang w:val="en-US" w:eastAsia="zh-CN"/>
        </w:rPr>
        <w:t xml:space="preserve">                                 年  月  日</w:t>
      </w:r>
      <w:r>
        <w:rPr>
          <w:rFonts w:hint="eastAsia" w:ascii="仿宋_GB2312" w:hAnsi="仿宋_GB2312" w:eastAsia="仿宋_GB2312" w:cs="仿宋_GB2312"/>
          <w:color w:val="000000"/>
          <w:kern w:val="0"/>
          <w:sz w:val="32"/>
          <w:szCs w:val="32"/>
          <w:lang w:val="en-US" w:eastAsia="zh-CN" w:bidi="ar"/>
        </w:rPr>
        <w:t xml:space="preserve">     </w:t>
      </w:r>
    </w:p>
    <w:p w14:paraId="0EF49E6E">
      <w:pPr>
        <w:keepNext w:val="0"/>
        <w:keepLines w:val="0"/>
        <w:pageBreakBefore w:val="0"/>
        <w:widowControl/>
        <w:suppressLineNumbers w:val="0"/>
        <w:tabs>
          <w:tab w:val="left" w:pos="3801"/>
        </w:tabs>
        <w:kinsoku/>
        <w:wordWrap/>
        <w:overflowPunct/>
        <w:topLinePunct w:val="0"/>
        <w:autoSpaceDE/>
        <w:autoSpaceDN/>
        <w:bidi w:val="0"/>
        <w:adjustRightInd/>
        <w:snapToGrid/>
        <w:ind w:firstLine="640" w:firstLineChars="200"/>
        <w:jc w:val="both"/>
        <w:textAlignment w:val="auto"/>
        <w:rPr>
          <w:rFonts w:hint="eastAsia" w:ascii="黑体" w:hAnsi="黑体" w:eastAsia="黑体" w:cs="黑体"/>
          <w:b w:val="0"/>
          <w:bCs/>
          <w:sz w:val="32"/>
          <w:szCs w:val="32"/>
          <w:lang w:val="en-US" w:eastAsia="zh-CN"/>
        </w:rPr>
      </w:pPr>
      <w:r>
        <w:rPr>
          <w:rFonts w:hint="eastAsia" w:ascii="黑体" w:hAnsi="黑体" w:eastAsia="黑体" w:cs="黑体"/>
          <w:b w:val="0"/>
          <w:bCs/>
          <w:sz w:val="32"/>
          <w:szCs w:val="32"/>
          <w:lang w:eastAsia="zh-CN"/>
        </w:rPr>
        <w:t>附件</w:t>
      </w:r>
      <w:r>
        <w:rPr>
          <w:rFonts w:hint="eastAsia" w:ascii="黑体" w:hAnsi="黑体" w:eastAsia="黑体" w:cs="黑体"/>
          <w:b w:val="0"/>
          <w:bCs/>
          <w:sz w:val="32"/>
          <w:szCs w:val="32"/>
          <w:lang w:val="en-US" w:eastAsia="zh-CN"/>
        </w:rPr>
        <w:t>4</w:t>
      </w:r>
    </w:p>
    <w:p w14:paraId="2EA3A485">
      <w:pPr>
        <w:rPr>
          <w:rFonts w:hint="eastAsia"/>
          <w:lang w:val="en-US" w:eastAsia="zh-CN"/>
        </w:rPr>
      </w:pPr>
    </w:p>
    <w:p w14:paraId="412AEF13">
      <w:pPr>
        <w:ind w:firstLine="560"/>
        <w:jc w:val="center"/>
        <w:rPr>
          <w:rFonts w:hint="eastAsia" w:ascii="宋体" w:hAnsi="宋体" w:eastAsia="宋体" w:cs="Times New Roman"/>
          <w:b/>
          <w:sz w:val="36"/>
          <w:szCs w:val="36"/>
          <w:lang w:val="en-US" w:eastAsia="zh-CN"/>
        </w:rPr>
      </w:pPr>
      <w:r>
        <w:rPr>
          <w:rFonts w:hint="eastAsia" w:ascii="宋体" w:hAnsi="宋体" w:eastAsia="宋体" w:cs="Times New Roman"/>
          <w:b/>
          <w:sz w:val="36"/>
          <w:szCs w:val="36"/>
          <w:lang w:val="en-US" w:eastAsia="zh-CN"/>
        </w:rPr>
        <w:t>学校安全隐患大排查大整治</w:t>
      </w:r>
      <w:r>
        <w:rPr>
          <w:rFonts w:hint="eastAsia" w:ascii="宋体" w:hAnsi="宋体" w:cs="Times New Roman"/>
          <w:b/>
          <w:sz w:val="36"/>
          <w:szCs w:val="36"/>
          <w:lang w:val="en-US" w:eastAsia="zh-CN"/>
        </w:rPr>
        <w:t>暨反诈工作</w:t>
      </w:r>
      <w:r>
        <w:rPr>
          <w:rFonts w:hint="eastAsia" w:ascii="宋体" w:hAnsi="宋体" w:eastAsia="宋体" w:cs="Times New Roman"/>
          <w:b/>
          <w:sz w:val="36"/>
          <w:szCs w:val="36"/>
          <w:lang w:val="en-US" w:eastAsia="zh-CN"/>
        </w:rPr>
        <w:t>问题清单</w:t>
      </w:r>
    </w:p>
    <w:p w14:paraId="4551F5DD">
      <w:pPr>
        <w:keepNext w:val="0"/>
        <w:keepLines w:val="0"/>
        <w:pageBreakBefore w:val="0"/>
        <w:widowControl w:val="0"/>
        <w:kinsoku/>
        <w:wordWrap/>
        <w:overflowPunct/>
        <w:topLinePunct w:val="0"/>
        <w:autoSpaceDE/>
        <w:autoSpaceDN/>
        <w:bidi w:val="0"/>
        <w:adjustRightInd/>
        <w:snapToGrid/>
        <w:spacing w:after="157" w:afterLines="50" w:line="580" w:lineRule="exact"/>
        <w:ind w:right="0" w:rightChars="0"/>
        <w:textAlignment w:val="auto"/>
        <w:rPr>
          <w:rFonts w:hint="eastAsia" w:ascii="楷体" w:hAnsi="楷体" w:eastAsia="楷体" w:cs="楷体"/>
          <w:b w:val="0"/>
          <w:bCs/>
          <w:kern w:val="0"/>
          <w:sz w:val="32"/>
          <w:szCs w:val="32"/>
          <w:lang w:val="en-US" w:eastAsia="zh-CN"/>
        </w:rPr>
      </w:pPr>
      <w:r>
        <w:rPr>
          <w:rFonts w:hint="eastAsia" w:ascii="楷体" w:hAnsi="楷体" w:eastAsia="楷体" w:cs="楷体"/>
          <w:b w:val="0"/>
          <w:bCs/>
          <w:kern w:val="0"/>
          <w:sz w:val="32"/>
          <w:szCs w:val="32"/>
          <w:lang w:val="en-US" w:eastAsia="zh-CN"/>
        </w:rPr>
        <w:t>部门（</w:t>
      </w:r>
      <w:r>
        <w:rPr>
          <w:rFonts w:hint="eastAsia" w:ascii="楷体" w:hAnsi="楷体" w:eastAsia="楷体" w:cs="楷体"/>
          <w:b w:val="0"/>
          <w:bCs/>
          <w:kern w:val="0"/>
          <w:sz w:val="32"/>
          <w:szCs w:val="32"/>
          <w:lang w:eastAsia="zh-CN"/>
        </w:rPr>
        <w:t>盖章）：</w:t>
      </w:r>
      <w:r>
        <w:rPr>
          <w:rFonts w:hint="eastAsia" w:ascii="楷体" w:hAnsi="楷体" w:eastAsia="楷体" w:cs="楷体"/>
          <w:b w:val="0"/>
          <w:bCs/>
          <w:kern w:val="0"/>
          <w:sz w:val="32"/>
          <w:szCs w:val="32"/>
          <w:lang w:val="en-US" w:eastAsia="zh-CN"/>
        </w:rPr>
        <w:t xml:space="preserve">                                              填报日期：   年  月  日</w:t>
      </w:r>
    </w:p>
    <w:tbl>
      <w:tblPr>
        <w:tblStyle w:val="6"/>
        <w:tblW w:w="141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5254"/>
        <w:gridCol w:w="1182"/>
        <w:gridCol w:w="1182"/>
        <w:gridCol w:w="1820"/>
        <w:gridCol w:w="1820"/>
        <w:gridCol w:w="754"/>
        <w:gridCol w:w="862"/>
        <w:gridCol w:w="755"/>
      </w:tblGrid>
      <w:tr w14:paraId="6E13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36" w:type="dxa"/>
            <w:noWrap w:val="0"/>
            <w:vAlign w:val="center"/>
          </w:tcPr>
          <w:p w14:paraId="722E50C2">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color w:val="auto"/>
                <w:sz w:val="24"/>
                <w:szCs w:val="24"/>
                <w:vertAlign w:val="baseline"/>
                <w:lang w:val="en-US" w:eastAsia="zh-CN"/>
              </w:rPr>
              <w:t>序号</w:t>
            </w:r>
          </w:p>
        </w:tc>
        <w:tc>
          <w:tcPr>
            <w:tcW w:w="5254" w:type="dxa"/>
            <w:noWrap w:val="0"/>
            <w:vAlign w:val="center"/>
          </w:tcPr>
          <w:p w14:paraId="34800C1B">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color w:val="auto"/>
                <w:sz w:val="24"/>
                <w:szCs w:val="24"/>
                <w:vertAlign w:val="baseline"/>
                <w:lang w:val="en-US" w:eastAsia="zh-CN"/>
              </w:rPr>
              <w:t>排查内容</w:t>
            </w:r>
          </w:p>
        </w:tc>
        <w:tc>
          <w:tcPr>
            <w:tcW w:w="1182" w:type="dxa"/>
            <w:noWrap w:val="0"/>
            <w:vAlign w:val="center"/>
          </w:tcPr>
          <w:p w14:paraId="4C2DC5C9">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color w:val="auto"/>
                <w:sz w:val="24"/>
                <w:szCs w:val="24"/>
                <w:vertAlign w:val="baseline"/>
                <w:lang w:val="en-US" w:eastAsia="zh-CN"/>
              </w:rPr>
              <w:t>排查</w:t>
            </w:r>
            <w:r>
              <w:rPr>
                <w:rFonts w:hint="eastAsia" w:ascii="宋体" w:hAnsi="宋体" w:eastAsia="宋体" w:cs="宋体"/>
                <w:b/>
                <w:bCs/>
                <w:color w:val="auto"/>
                <w:sz w:val="24"/>
                <w:szCs w:val="24"/>
                <w:vertAlign w:val="baseline"/>
                <w:lang w:eastAsia="zh-CN"/>
              </w:rPr>
              <w:t>发现问题数量</w:t>
            </w:r>
          </w:p>
        </w:tc>
        <w:tc>
          <w:tcPr>
            <w:tcW w:w="1182" w:type="dxa"/>
            <w:noWrap w:val="0"/>
            <w:vAlign w:val="center"/>
          </w:tcPr>
          <w:p w14:paraId="2DC4DFC5">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color w:val="auto"/>
                <w:sz w:val="24"/>
                <w:szCs w:val="24"/>
                <w:vertAlign w:val="baseline"/>
                <w:lang w:eastAsia="zh-CN"/>
              </w:rPr>
              <w:t>立行立改问题数量</w:t>
            </w:r>
          </w:p>
        </w:tc>
        <w:tc>
          <w:tcPr>
            <w:tcW w:w="1820" w:type="dxa"/>
            <w:noWrap w:val="0"/>
            <w:vAlign w:val="center"/>
          </w:tcPr>
          <w:p w14:paraId="66A7EE04">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color w:val="auto"/>
                <w:sz w:val="24"/>
                <w:szCs w:val="24"/>
                <w:vertAlign w:val="baseline"/>
                <w:lang w:eastAsia="zh-CN"/>
              </w:rPr>
              <w:t>未能立行立改挂账督办问题数量</w:t>
            </w:r>
          </w:p>
        </w:tc>
        <w:tc>
          <w:tcPr>
            <w:tcW w:w="1820" w:type="dxa"/>
            <w:noWrap w:val="0"/>
            <w:vAlign w:val="center"/>
          </w:tcPr>
          <w:p w14:paraId="465FA07D">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color w:val="auto"/>
                <w:sz w:val="24"/>
                <w:szCs w:val="24"/>
                <w:vertAlign w:val="baseline"/>
                <w:lang w:eastAsia="zh-CN"/>
              </w:rPr>
              <w:t>未能立行立改挂账督办</w:t>
            </w:r>
            <w:r>
              <w:rPr>
                <w:rFonts w:hint="eastAsia" w:ascii="宋体" w:hAnsi="宋体" w:eastAsia="宋体" w:cs="宋体"/>
                <w:b/>
                <w:bCs/>
                <w:color w:val="auto"/>
                <w:sz w:val="24"/>
                <w:szCs w:val="24"/>
                <w:vertAlign w:val="baseline"/>
                <w:lang w:val="en-US" w:eastAsia="zh-CN"/>
              </w:rPr>
              <w:t>问题描述</w:t>
            </w:r>
          </w:p>
        </w:tc>
        <w:tc>
          <w:tcPr>
            <w:tcW w:w="754" w:type="dxa"/>
            <w:noWrap w:val="0"/>
            <w:vAlign w:val="center"/>
          </w:tcPr>
          <w:p w14:paraId="32F1AED8">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color w:val="auto"/>
                <w:sz w:val="24"/>
                <w:szCs w:val="24"/>
                <w:vertAlign w:val="baseline"/>
                <w:lang w:val="en-US" w:eastAsia="zh-CN"/>
              </w:rPr>
              <w:t>整改措施</w:t>
            </w:r>
          </w:p>
        </w:tc>
        <w:tc>
          <w:tcPr>
            <w:tcW w:w="862" w:type="dxa"/>
            <w:noWrap w:val="0"/>
            <w:vAlign w:val="center"/>
          </w:tcPr>
          <w:p w14:paraId="25486A01">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color w:val="auto"/>
                <w:sz w:val="24"/>
                <w:szCs w:val="24"/>
                <w:vertAlign w:val="baseline"/>
                <w:lang w:val="en-US" w:eastAsia="zh-CN"/>
              </w:rPr>
              <w:t>整改负责人</w:t>
            </w:r>
          </w:p>
        </w:tc>
        <w:tc>
          <w:tcPr>
            <w:tcW w:w="755" w:type="dxa"/>
            <w:noWrap w:val="0"/>
            <w:vAlign w:val="center"/>
          </w:tcPr>
          <w:p w14:paraId="75F25BEC">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color w:val="auto"/>
                <w:sz w:val="24"/>
                <w:szCs w:val="24"/>
                <w:vertAlign w:val="baseline"/>
                <w:lang w:val="en-US" w:eastAsia="zh-CN"/>
              </w:rPr>
              <w:t>完成期限</w:t>
            </w:r>
          </w:p>
        </w:tc>
      </w:tr>
      <w:tr w14:paraId="6576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36" w:type="dxa"/>
            <w:noWrap w:val="0"/>
            <w:vAlign w:val="center"/>
          </w:tcPr>
          <w:p w14:paraId="54440D28">
            <w:pPr>
              <w:pStyle w:val="2"/>
              <w:snapToGrid w:val="0"/>
              <w:ind w:left="0" w:leftChars="0" w:right="0" w:rightChars="0" w:firstLine="0" w:firstLineChars="0"/>
              <w:jc w:val="center"/>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1</w:t>
            </w:r>
          </w:p>
        </w:tc>
        <w:tc>
          <w:tcPr>
            <w:tcW w:w="5254" w:type="dxa"/>
            <w:noWrap w:val="0"/>
            <w:vAlign w:val="center"/>
          </w:tcPr>
          <w:p w14:paraId="554EF785">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auto"/>
              <w:rPr>
                <w:rFonts w:hint="eastAsia" w:ascii="宋体" w:hAnsi="宋体" w:eastAsia="宋体" w:cs="宋体"/>
                <w:color w:val="auto"/>
                <w:sz w:val="24"/>
                <w:szCs w:val="24"/>
                <w:vertAlign w:val="baseline"/>
                <w:lang w:val="en-US" w:eastAsia="zh-CN"/>
              </w:rPr>
            </w:pPr>
            <w:r>
              <w:rPr>
                <w:rFonts w:hint="eastAsia" w:ascii="宋体" w:hAnsi="宋体" w:eastAsia="宋体" w:cs="宋体"/>
                <w:b w:val="0"/>
                <w:bCs/>
                <w:i w:val="0"/>
                <w:iCs w:val="0"/>
                <w:color w:val="auto"/>
                <w:kern w:val="0"/>
                <w:sz w:val="24"/>
                <w:szCs w:val="24"/>
                <w:u w:val="none"/>
                <w:lang w:val="en-US" w:eastAsia="zh-CN" w:bidi="ar"/>
              </w:rPr>
              <w:t>安全工作主体责任落实情况。</w:t>
            </w:r>
          </w:p>
        </w:tc>
        <w:tc>
          <w:tcPr>
            <w:tcW w:w="1182" w:type="dxa"/>
            <w:noWrap w:val="0"/>
            <w:vAlign w:val="center"/>
          </w:tcPr>
          <w:p w14:paraId="068D768D">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182" w:type="dxa"/>
            <w:noWrap w:val="0"/>
            <w:vAlign w:val="center"/>
          </w:tcPr>
          <w:p w14:paraId="570D24F9">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0DAB0BFC">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1CDF0EB2">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4" w:type="dxa"/>
            <w:noWrap w:val="0"/>
            <w:vAlign w:val="center"/>
          </w:tcPr>
          <w:p w14:paraId="5970BF77">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862" w:type="dxa"/>
            <w:noWrap w:val="0"/>
            <w:vAlign w:val="center"/>
          </w:tcPr>
          <w:p w14:paraId="694F89F5">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5" w:type="dxa"/>
            <w:noWrap w:val="0"/>
            <w:vAlign w:val="center"/>
          </w:tcPr>
          <w:p w14:paraId="6372EE06">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r>
      <w:tr w14:paraId="7B64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8" w:hRule="atLeast"/>
          <w:jc w:val="center"/>
        </w:trPr>
        <w:tc>
          <w:tcPr>
            <w:tcW w:w="536" w:type="dxa"/>
            <w:noWrap w:val="0"/>
            <w:vAlign w:val="center"/>
          </w:tcPr>
          <w:p w14:paraId="5496B50C">
            <w:pPr>
              <w:pStyle w:val="2"/>
              <w:snapToGrid w:val="0"/>
              <w:ind w:left="0" w:leftChars="0" w:right="0" w:rightChars="0" w:firstLine="0" w:firstLineChars="0"/>
              <w:jc w:val="center"/>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2</w:t>
            </w:r>
          </w:p>
        </w:tc>
        <w:tc>
          <w:tcPr>
            <w:tcW w:w="5254" w:type="dxa"/>
            <w:noWrap w:val="0"/>
            <w:vAlign w:val="center"/>
          </w:tcPr>
          <w:p w14:paraId="710CD81C">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auto"/>
              <w:rPr>
                <w:rFonts w:hint="eastAsia" w:ascii="宋体" w:hAnsi="宋体" w:eastAsia="宋体" w:cs="宋体"/>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日常安全管理情况，包括食堂建设、防汛、食品安全、消防安全、燃气安全、校舍安全、实验室安全。</w:t>
            </w:r>
          </w:p>
        </w:tc>
        <w:tc>
          <w:tcPr>
            <w:tcW w:w="1182" w:type="dxa"/>
            <w:noWrap w:val="0"/>
            <w:vAlign w:val="center"/>
          </w:tcPr>
          <w:p w14:paraId="12F90A67">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182" w:type="dxa"/>
            <w:noWrap w:val="0"/>
            <w:vAlign w:val="center"/>
          </w:tcPr>
          <w:p w14:paraId="42D95266">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4D61C11A">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534DF3F3">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4" w:type="dxa"/>
            <w:noWrap w:val="0"/>
            <w:vAlign w:val="center"/>
          </w:tcPr>
          <w:p w14:paraId="4FDA0ADC">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862" w:type="dxa"/>
            <w:noWrap w:val="0"/>
            <w:vAlign w:val="center"/>
          </w:tcPr>
          <w:p w14:paraId="1ABD5BD7">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5" w:type="dxa"/>
            <w:noWrap w:val="0"/>
            <w:vAlign w:val="center"/>
          </w:tcPr>
          <w:p w14:paraId="710235F7">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r>
      <w:tr w14:paraId="7C1E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36" w:type="dxa"/>
            <w:noWrap w:val="0"/>
            <w:vAlign w:val="center"/>
          </w:tcPr>
          <w:p w14:paraId="7C2E50BB">
            <w:pPr>
              <w:pStyle w:val="2"/>
              <w:snapToGrid w:val="0"/>
              <w:ind w:left="0" w:leftChars="0" w:right="0" w:rightChars="0" w:firstLine="0" w:firstLineChars="0"/>
              <w:jc w:val="center"/>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3</w:t>
            </w:r>
          </w:p>
        </w:tc>
        <w:tc>
          <w:tcPr>
            <w:tcW w:w="5254" w:type="dxa"/>
            <w:noWrap w:val="0"/>
            <w:vAlign w:val="center"/>
          </w:tcPr>
          <w:p w14:paraId="72DE77FF">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auto"/>
              <w:rPr>
                <w:rFonts w:hint="eastAsia" w:ascii="宋体" w:hAnsi="宋体" w:eastAsia="宋体" w:cs="宋体"/>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学校交通和车辆管理情况。</w:t>
            </w:r>
          </w:p>
        </w:tc>
        <w:tc>
          <w:tcPr>
            <w:tcW w:w="1182" w:type="dxa"/>
            <w:noWrap w:val="0"/>
            <w:vAlign w:val="center"/>
          </w:tcPr>
          <w:p w14:paraId="5C23EFC9">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182" w:type="dxa"/>
            <w:noWrap w:val="0"/>
            <w:vAlign w:val="center"/>
          </w:tcPr>
          <w:p w14:paraId="3E81791D">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26F78321">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78E6E2EB">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4" w:type="dxa"/>
            <w:noWrap w:val="0"/>
            <w:vAlign w:val="center"/>
          </w:tcPr>
          <w:p w14:paraId="25F0018E">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862" w:type="dxa"/>
            <w:noWrap w:val="0"/>
            <w:vAlign w:val="center"/>
          </w:tcPr>
          <w:p w14:paraId="69AB4F88">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5" w:type="dxa"/>
            <w:noWrap w:val="0"/>
            <w:vAlign w:val="center"/>
          </w:tcPr>
          <w:p w14:paraId="74D7A7EF">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r>
      <w:tr w14:paraId="7A5C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36" w:type="dxa"/>
            <w:noWrap w:val="0"/>
            <w:vAlign w:val="center"/>
          </w:tcPr>
          <w:p w14:paraId="08B32D50">
            <w:pPr>
              <w:pStyle w:val="2"/>
              <w:snapToGrid w:val="0"/>
              <w:ind w:left="0" w:leftChars="0" w:right="0" w:rightChars="0" w:firstLine="0" w:firstLineChars="0"/>
              <w:jc w:val="center"/>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4</w:t>
            </w:r>
          </w:p>
        </w:tc>
        <w:tc>
          <w:tcPr>
            <w:tcW w:w="5254" w:type="dxa"/>
            <w:noWrap w:val="0"/>
            <w:vAlign w:val="center"/>
          </w:tcPr>
          <w:p w14:paraId="140EA50D">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auto"/>
              <w:rPr>
                <w:rFonts w:hint="eastAsia" w:ascii="宋体" w:hAnsi="宋体" w:eastAsia="宋体" w:cs="宋体"/>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反诈宣贯情况。</w:t>
            </w:r>
          </w:p>
        </w:tc>
        <w:tc>
          <w:tcPr>
            <w:tcW w:w="1182" w:type="dxa"/>
            <w:noWrap w:val="0"/>
            <w:vAlign w:val="center"/>
          </w:tcPr>
          <w:p w14:paraId="7F88850F">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182" w:type="dxa"/>
            <w:noWrap w:val="0"/>
            <w:vAlign w:val="center"/>
          </w:tcPr>
          <w:p w14:paraId="0D7027D8">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07CB242C">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682EE2C5">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4" w:type="dxa"/>
            <w:noWrap w:val="0"/>
            <w:vAlign w:val="center"/>
          </w:tcPr>
          <w:p w14:paraId="1487C066">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862" w:type="dxa"/>
            <w:noWrap w:val="0"/>
            <w:vAlign w:val="center"/>
          </w:tcPr>
          <w:p w14:paraId="05374E2B">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5" w:type="dxa"/>
            <w:noWrap w:val="0"/>
            <w:vAlign w:val="center"/>
          </w:tcPr>
          <w:p w14:paraId="1F686616">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r>
      <w:tr w14:paraId="0863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36" w:type="dxa"/>
            <w:noWrap w:val="0"/>
            <w:vAlign w:val="center"/>
          </w:tcPr>
          <w:p w14:paraId="190F4DBA">
            <w:pPr>
              <w:pStyle w:val="2"/>
              <w:snapToGrid w:val="0"/>
              <w:ind w:left="0" w:leftChars="0" w:right="0" w:rightChars="0" w:firstLine="0" w:firstLineChars="0"/>
              <w:jc w:val="center"/>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5</w:t>
            </w:r>
          </w:p>
        </w:tc>
        <w:tc>
          <w:tcPr>
            <w:tcW w:w="5254" w:type="dxa"/>
            <w:noWrap w:val="0"/>
            <w:vAlign w:val="center"/>
          </w:tcPr>
          <w:p w14:paraId="35A8C2D4">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auto"/>
              <w:rPr>
                <w:rFonts w:hint="eastAsia" w:ascii="宋体" w:hAnsi="宋体" w:eastAsia="宋体" w:cs="宋体"/>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加强师生安全教育及突发事件应急预案与应急演练情况。</w:t>
            </w:r>
          </w:p>
        </w:tc>
        <w:tc>
          <w:tcPr>
            <w:tcW w:w="1182" w:type="dxa"/>
            <w:noWrap w:val="0"/>
            <w:vAlign w:val="center"/>
          </w:tcPr>
          <w:p w14:paraId="487BDF53">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182" w:type="dxa"/>
            <w:noWrap w:val="0"/>
            <w:vAlign w:val="center"/>
          </w:tcPr>
          <w:p w14:paraId="66C5B328">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6555842C">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0188ADB8">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4" w:type="dxa"/>
            <w:noWrap w:val="0"/>
            <w:vAlign w:val="center"/>
          </w:tcPr>
          <w:p w14:paraId="2909E2A9">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862" w:type="dxa"/>
            <w:noWrap w:val="0"/>
            <w:vAlign w:val="center"/>
          </w:tcPr>
          <w:p w14:paraId="286FF115">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5" w:type="dxa"/>
            <w:noWrap w:val="0"/>
            <w:vAlign w:val="center"/>
          </w:tcPr>
          <w:p w14:paraId="7088C731">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r>
      <w:tr w14:paraId="78E2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536" w:type="dxa"/>
            <w:noWrap w:val="0"/>
            <w:vAlign w:val="center"/>
          </w:tcPr>
          <w:p w14:paraId="6B154805">
            <w:pPr>
              <w:pStyle w:val="2"/>
              <w:snapToGrid w:val="0"/>
              <w:ind w:left="0" w:leftChars="0" w:right="0" w:rightChars="0" w:firstLine="0" w:firstLineChars="0"/>
              <w:jc w:val="center"/>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6</w:t>
            </w:r>
          </w:p>
        </w:tc>
        <w:tc>
          <w:tcPr>
            <w:tcW w:w="5254" w:type="dxa"/>
            <w:noWrap w:val="0"/>
            <w:vAlign w:val="center"/>
          </w:tcPr>
          <w:p w14:paraId="29FA7FC7">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auto"/>
              <w:rPr>
                <w:rFonts w:hint="eastAsia" w:ascii="宋体" w:hAnsi="宋体" w:eastAsia="宋体" w:cs="宋体"/>
                <w:color w:val="auto"/>
                <w:sz w:val="24"/>
                <w:szCs w:val="24"/>
                <w:vertAlign w:val="baseline"/>
                <w:lang w:val="en-US" w:eastAsia="zh-CN"/>
              </w:rPr>
            </w:pPr>
            <w:r>
              <w:rPr>
                <w:rFonts w:hint="eastAsia" w:ascii="宋体" w:hAnsi="宋体" w:eastAsia="宋体" w:cs="宋体"/>
                <w:b w:val="0"/>
                <w:bCs/>
                <w:i w:val="0"/>
                <w:iCs w:val="0"/>
                <w:color w:val="auto"/>
                <w:sz w:val="24"/>
                <w:szCs w:val="24"/>
                <w:u w:val="none"/>
                <w:lang w:val="en-US" w:eastAsia="zh-CN"/>
              </w:rPr>
              <w:t>其他。</w:t>
            </w:r>
          </w:p>
        </w:tc>
        <w:tc>
          <w:tcPr>
            <w:tcW w:w="1182" w:type="dxa"/>
            <w:noWrap w:val="0"/>
            <w:vAlign w:val="center"/>
          </w:tcPr>
          <w:p w14:paraId="4AAEFEBB">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182" w:type="dxa"/>
            <w:noWrap w:val="0"/>
            <w:vAlign w:val="center"/>
          </w:tcPr>
          <w:p w14:paraId="1978E302">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7A4399E4">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1820" w:type="dxa"/>
            <w:noWrap w:val="0"/>
            <w:vAlign w:val="center"/>
          </w:tcPr>
          <w:p w14:paraId="078C4470">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4" w:type="dxa"/>
            <w:noWrap w:val="0"/>
            <w:vAlign w:val="center"/>
          </w:tcPr>
          <w:p w14:paraId="0CD746D5">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862" w:type="dxa"/>
            <w:noWrap w:val="0"/>
            <w:vAlign w:val="center"/>
          </w:tcPr>
          <w:p w14:paraId="65035248">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c>
          <w:tcPr>
            <w:tcW w:w="755" w:type="dxa"/>
            <w:noWrap w:val="0"/>
            <w:vAlign w:val="center"/>
          </w:tcPr>
          <w:p w14:paraId="2979E6F6">
            <w:pPr>
              <w:pStyle w:val="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auto"/>
              <w:rPr>
                <w:rFonts w:hint="eastAsia" w:ascii="宋体" w:hAnsi="宋体" w:eastAsia="宋体" w:cs="宋体"/>
                <w:color w:val="auto"/>
                <w:sz w:val="24"/>
                <w:szCs w:val="24"/>
                <w:vertAlign w:val="baseline"/>
                <w:lang w:val="en-US" w:eastAsia="zh-CN"/>
              </w:rPr>
            </w:pPr>
          </w:p>
        </w:tc>
      </w:tr>
    </w:tbl>
    <w:p w14:paraId="7FBD0D39">
      <w:pPr>
        <w:spacing w:line="480" w:lineRule="exact"/>
        <w:rPr>
          <w:rFonts w:hint="eastAsia" w:ascii="黑体" w:hAnsi="黑体" w:eastAsia="黑体" w:cs="黑体"/>
          <w:b w:val="0"/>
          <w:bCs/>
          <w:sz w:val="32"/>
          <w:szCs w:val="32"/>
        </w:rPr>
        <w:sectPr>
          <w:headerReference r:id="rId4" w:type="default"/>
          <w:footerReference r:id="rId5" w:type="default"/>
          <w:pgSz w:w="16838" w:h="11906" w:orient="landscape"/>
          <w:pgMar w:top="1797" w:right="1440" w:bottom="1854" w:left="1440" w:header="851" w:footer="992" w:gutter="0"/>
          <w:pgNumType w:fmt="decimal"/>
          <w:cols w:space="720" w:num="1"/>
          <w:docGrid w:type="lines" w:linePitch="312" w:charSpace="0"/>
        </w:sectPr>
      </w:pPr>
    </w:p>
    <w:p w14:paraId="13265B9E">
      <w:pPr>
        <w:spacing w:line="480" w:lineRule="exact"/>
        <w:rPr>
          <w:rFonts w:hint="eastAsia" w:ascii="黑体" w:hAnsi="黑体" w:eastAsia="黑体" w:cs="黑体"/>
          <w:b w:val="0"/>
          <w:bCs/>
          <w:sz w:val="32"/>
          <w:szCs w:val="32"/>
          <w:lang w:eastAsia="zh-CN"/>
        </w:rPr>
      </w:pPr>
      <w:r>
        <w:rPr>
          <w:rFonts w:hint="eastAsia" w:ascii="黑体" w:hAnsi="黑体" w:eastAsia="黑体" w:cs="黑体"/>
          <w:b w:val="0"/>
          <w:bCs/>
          <w:sz w:val="32"/>
          <w:szCs w:val="32"/>
        </w:rPr>
        <w:fldChar w:fldCharType="begin"/>
      </w:r>
      <w:r>
        <w:rPr>
          <w:rFonts w:hint="eastAsia" w:ascii="黑体" w:hAnsi="黑体" w:eastAsia="黑体" w:cs="黑体"/>
          <w:b w:val="0"/>
          <w:bCs/>
          <w:sz w:val="32"/>
          <w:szCs w:val="32"/>
        </w:rPr>
        <w:instrText xml:space="preserve">ADDIN CNKISM.UserStyle</w:instrText>
      </w:r>
      <w:r>
        <w:rPr>
          <w:rFonts w:hint="eastAsia" w:ascii="黑体" w:hAnsi="黑体" w:eastAsia="黑体" w:cs="黑体"/>
          <w:b w:val="0"/>
          <w:bCs/>
          <w:sz w:val="32"/>
          <w:szCs w:val="32"/>
        </w:rPr>
        <w:fldChar w:fldCharType="end"/>
      </w:r>
      <w:r>
        <w:rPr>
          <w:rFonts w:hint="eastAsia" w:ascii="黑体" w:hAnsi="黑体" w:eastAsia="黑体" w:cs="黑体"/>
          <w:b w:val="0"/>
          <w:bCs/>
          <w:sz w:val="32"/>
          <w:szCs w:val="32"/>
        </w:rPr>
        <w:t>附件</w:t>
      </w:r>
      <w:r>
        <w:rPr>
          <w:rFonts w:hint="eastAsia" w:ascii="黑体" w:hAnsi="黑体" w:eastAsia="黑体" w:cs="黑体"/>
          <w:b w:val="0"/>
          <w:bCs/>
          <w:sz w:val="32"/>
          <w:szCs w:val="32"/>
          <w:lang w:val="en-US" w:eastAsia="zh-CN"/>
        </w:rPr>
        <w:t>5</w:t>
      </w:r>
    </w:p>
    <w:p w14:paraId="5211A7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44"/>
          <w:szCs w:val="44"/>
        </w:rPr>
      </w:pPr>
      <w:r>
        <w:rPr>
          <w:rFonts w:hint="eastAsia" w:ascii="宋体" w:hAnsi="宋体" w:eastAsia="宋体" w:cs="宋体"/>
          <w:b/>
          <w:bCs/>
          <w:sz w:val="44"/>
          <w:szCs w:val="44"/>
        </w:rPr>
        <w:t>学生公寓消防安全隐患排查清单</w:t>
      </w:r>
    </w:p>
    <w:p w14:paraId="22E1BE3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44"/>
          <w:szCs w:val="44"/>
        </w:rPr>
      </w:pPr>
    </w:p>
    <w:p w14:paraId="005E1D5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是否定期开展学生公寓消防安全隐患排查并建立台账，详细记录排查整改情况。</w:t>
      </w:r>
    </w:p>
    <w:p w14:paraId="48165C6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是否定期组织学生在学生公寓开展消防演练，并详细记录演练情况。</w:t>
      </w:r>
    </w:p>
    <w:p w14:paraId="1D4587C9">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3.</w:t>
      </w:r>
      <w:r>
        <w:rPr>
          <w:rFonts w:hint="eastAsia" w:ascii="仿宋" w:hAnsi="仿宋" w:eastAsia="仿宋" w:cs="仿宋"/>
          <w:sz w:val="32"/>
          <w:szCs w:val="32"/>
        </w:rPr>
        <w:t>学生公寓消防安全宣传教育是否到位。</w:t>
      </w:r>
    </w:p>
    <w:p w14:paraId="269E0CE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4.</w:t>
      </w:r>
      <w:r>
        <w:rPr>
          <w:rFonts w:hint="eastAsia" w:ascii="仿宋" w:hAnsi="仿宋" w:eastAsia="仿宋" w:cs="仿宋"/>
          <w:sz w:val="32"/>
          <w:szCs w:val="32"/>
        </w:rPr>
        <w:t>学生公寓内是否有快递纸箱、衣物、书籍等易燃可燃物杂乱堆放。</w:t>
      </w:r>
    </w:p>
    <w:p w14:paraId="320EA16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5.</w:t>
      </w:r>
      <w:r>
        <w:rPr>
          <w:rFonts w:hint="eastAsia" w:ascii="仿宋" w:hAnsi="仿宋" w:eastAsia="仿宋" w:cs="仿宋"/>
          <w:sz w:val="32"/>
          <w:szCs w:val="32"/>
        </w:rPr>
        <w:t>电动自行车、电瓶车等使用蓄电池的交通工具是否在学生公寓室内、楼梯间、公共走道、门厅等部位停放或充电。</w:t>
      </w:r>
    </w:p>
    <w:p w14:paraId="1D95C96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6.</w:t>
      </w:r>
      <w:r>
        <w:rPr>
          <w:rFonts w:hint="eastAsia" w:ascii="仿宋" w:hAnsi="仿宋" w:eastAsia="仿宋" w:cs="仿宋"/>
          <w:sz w:val="32"/>
          <w:szCs w:val="32"/>
        </w:rPr>
        <w:t>学生公寓是否存在私拉乱接电线以及使用电炉、电暖器、电褥子、热得快等大功率电器设备或使用蜡烛、酒精炉等明火器具现象。</w:t>
      </w:r>
    </w:p>
    <w:p w14:paraId="6F2EF36F">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7.</w:t>
      </w:r>
      <w:r>
        <w:rPr>
          <w:rFonts w:hint="eastAsia" w:ascii="仿宋" w:hAnsi="仿宋" w:eastAsia="仿宋" w:cs="仿宋"/>
          <w:sz w:val="32"/>
          <w:szCs w:val="32"/>
        </w:rPr>
        <w:t>学生离开宿舍后是否电脑、手机、充电宝、充电器等长时间处于通电状态。</w:t>
      </w:r>
    </w:p>
    <w:p w14:paraId="11074FD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宋体" w:hAnsi="宋体"/>
          <w:b/>
          <w:sz w:val="36"/>
          <w:szCs w:val="36"/>
          <w:lang w:val="en-US" w:eastAsia="zh-CN"/>
        </w:rPr>
      </w:pPr>
      <w:r>
        <w:rPr>
          <w:rFonts w:hint="eastAsia" w:ascii="仿宋" w:hAnsi="仿宋" w:eastAsia="仿宋" w:cs="仿宋"/>
          <w:sz w:val="32"/>
          <w:szCs w:val="32"/>
          <w:lang w:val="en-US" w:eastAsia="zh-CN"/>
        </w:rPr>
        <w:t>8.</w:t>
      </w:r>
      <w:r>
        <w:rPr>
          <w:rFonts w:hint="eastAsia" w:ascii="仿宋" w:hAnsi="仿宋" w:eastAsia="仿宋" w:cs="仿宋"/>
          <w:sz w:val="32"/>
          <w:szCs w:val="32"/>
        </w:rPr>
        <w:t>是否存在学生在宿舍抽烟、乱扔烟蒂以及焚烧杂物的现象。</w:t>
      </w:r>
    </w:p>
    <w:p w14:paraId="0FF4CA3C">
      <w:pPr>
        <w:rPr>
          <w:rFonts w:hint="default"/>
          <w:lang w:val="en-US" w:eastAsia="zh-CN"/>
        </w:rPr>
      </w:pPr>
    </w:p>
    <w:p w14:paraId="4DA4D8DE"/>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KSOFE8852770">
    <w:panose1 w:val="03000509000000000000"/>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85987">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54BC11F">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654BC11F">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B70F2">
    <w:pPr>
      <w:pStyle w:val="3"/>
      <w:tabs>
        <w:tab w:val="clear" w:pos="4153"/>
      </w:tabs>
      <w:rPr>
        <w:rFonts w:hint="eastAsia" w:ascii="宋体" w:hAnsi="宋体" w:eastAsia="宋体" w:cs="宋体"/>
        <w:b w:val="0"/>
        <w:bCs/>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713D10">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path/>
              <v:fill on="f" focussize="0,0"/>
              <v:stroke on="f"/>
              <v:imagedata o:title=""/>
              <o:lock v:ext="edit" aspectratio="f"/>
              <v:textbox inset="0mm,0mm,0mm,0mm" style="mso-fit-shape-to-text:t;">
                <w:txbxContent>
                  <w:p w14:paraId="5D713D10">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6F510">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F3535"/>
    <w:multiLevelType w:val="singleLevel"/>
    <w:tmpl w:val="9BBF3535"/>
    <w:lvl w:ilvl="0" w:tentative="0">
      <w:start w:val="4"/>
      <w:numFmt w:val="chineseCounting"/>
      <w:suff w:val="nothing"/>
      <w:lvlText w:val="%1、"/>
      <w:lvlJc w:val="left"/>
      <w:rPr>
        <w:rFonts w:hint="eastAsia"/>
      </w:rPr>
    </w:lvl>
  </w:abstractNum>
  <w:abstractNum w:abstractNumId="1">
    <w:nsid w:val="EE85A266"/>
    <w:multiLevelType w:val="singleLevel"/>
    <w:tmpl w:val="EE85A266"/>
    <w:lvl w:ilvl="0" w:tentative="0">
      <w:start w:val="2"/>
      <w:numFmt w:val="chineseCounting"/>
      <w:suff w:val="nothing"/>
      <w:lvlText w:val="（%1）"/>
      <w:lvlJc w:val="left"/>
      <w:rPr>
        <w:rFonts w:hint="eastAsia"/>
      </w:rPr>
    </w:lvl>
  </w:abstractNum>
  <w:abstractNum w:abstractNumId="2">
    <w:nsid w:val="1D9F23FF"/>
    <w:multiLevelType w:val="singleLevel"/>
    <w:tmpl w:val="1D9F23FF"/>
    <w:lvl w:ilvl="0" w:tentative="0">
      <w:start w:val="2"/>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180A09"/>
    <w:rsid w:val="46180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00" w:after="0"/>
      <w:outlineLvl w:val="1"/>
    </w:pPr>
    <w:rPr>
      <w:rFonts w:ascii="Cambria" w:hAnsi="Cambria" w:cs="Times New Roman"/>
      <w:b/>
      <w:bCs/>
      <w:color w:val="4F81BD"/>
      <w:sz w:val="26"/>
      <w:szCs w:val="26"/>
      <w:lang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正-文"/>
    <w:basedOn w:val="1"/>
    <w:qFormat/>
    <w:uiPriority w:val="0"/>
    <w:pPr>
      <w:spacing w:line="560" w:lineRule="exact"/>
      <w:ind w:firstLine="640" w:firstLineChars="200"/>
    </w:pPr>
    <w:rPr>
      <w:rFonts w:ascii="仿宋" w:hAnsi="仿宋" w:eastAsia="仿宋"/>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2025-12-17T07:15:00Z</dcterms:created>
  <dc:creator>aa</dc:creator>
  <cp:lastModifiedBy>aa</cp:lastModifiedBy>
  <dcterms:modified xsi:type="dcterms:W3CDTF">2025-12-17T07:16:26Z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B0AB19E406BD43B19E01D8BAA5697AA3_11</vt:lpwstr>
  </property>
  <property fmtid="{D5CDD505-2E9C-101B-9397-08002B2CF9AE}" pid="4" name="KSOTemplateDocerSaveRecord">
    <vt:lpwstr>eyJoZGlkIjoiOGY4ODMwOWI2ZDE2OWVjY2Y4YWZhZDdhYzI3MTc2NzUiLCJ1c2VySWQiOiIxNjE0NzAwODUzIn0=</vt:lpwstr>
  </property>
</Properties>
</file>