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1760D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B16E6AE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3D02B2C9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6E7D9E14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12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376F8D10">
      <w:pPr>
        <w:jc w:val="center"/>
        <w:rPr>
          <w:rFonts w:hint="eastAsia"/>
          <w:szCs w:val="21"/>
        </w:rPr>
      </w:pPr>
    </w:p>
    <w:p w14:paraId="0A9A3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</w:p>
    <w:p w14:paraId="79C11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  <w:t>关于下达2025年校内经费收支预算的通知</w:t>
      </w:r>
    </w:p>
    <w:p w14:paraId="689F8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 w:ascii="仿宋_GB2312" w:eastAsia="仿宋_GB2312"/>
          <w:bCs/>
          <w:sz w:val="28"/>
          <w:szCs w:val="28"/>
        </w:rPr>
      </w:pPr>
    </w:p>
    <w:p w14:paraId="5666A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全校各单位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：</w:t>
      </w:r>
    </w:p>
    <w:p w14:paraId="643A9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根据《河北省教育厅关于下达202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年单位经费收支预算的通知》（冀教财函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〔202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号）精神，现下达学校202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年校内经费收支预算（详见附件）。各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单位</w:t>
      </w:r>
      <w:r>
        <w:rPr>
          <w:rFonts w:hint="eastAsia" w:ascii="仿宋_GB2312" w:hAnsi="仿宋_GB2312" w:eastAsia="仿宋_GB2312" w:cs="仿宋_GB2312"/>
          <w:sz w:val="32"/>
          <w:szCs w:val="32"/>
        </w:rPr>
        <w:t>按照预算管理要求，严格预算执行，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强化预算约束，</w:t>
      </w:r>
      <w:r>
        <w:rPr>
          <w:rFonts w:hint="eastAsia" w:ascii="仿宋_GB2312" w:hAnsi="仿宋_GB2312" w:eastAsia="仿宋_GB2312" w:cs="仿宋_GB2312"/>
          <w:sz w:val="32"/>
          <w:szCs w:val="32"/>
        </w:rPr>
        <w:t>加强预算绩效管理，确保绩效目标如期实现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不断提高资金使用效益。为做好预算执行工作，现就有关事项通知如下：</w:t>
      </w:r>
    </w:p>
    <w:p w14:paraId="484B8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一、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预算编制</w:t>
      </w:r>
      <w:r>
        <w:rPr>
          <w:rFonts w:hint="eastAsia" w:ascii="黑体" w:hAnsi="黑体" w:eastAsia="黑体" w:cs="黑体"/>
          <w:color w:val="auto"/>
          <w:sz w:val="32"/>
          <w:szCs w:val="32"/>
        </w:rPr>
        <w:t>原则</w:t>
      </w:r>
    </w:p>
    <w:p w14:paraId="6B26F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按照学校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2025年的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工作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部署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及财力情况，202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年预算编制遵循三个原则：一是优先保障人员经费支出；二是保障学校教学及日常运转；三是重点保障教学、科研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学科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及高层次人才引进项目建设。</w:t>
      </w:r>
    </w:p>
    <w:p w14:paraId="485E7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二、强化预算约束，加快</w:t>
      </w: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预算资金</w:t>
      </w:r>
      <w:r>
        <w:rPr>
          <w:rFonts w:hint="eastAsia" w:ascii="黑体" w:hAnsi="黑体" w:eastAsia="黑体" w:cs="黑体"/>
          <w:color w:val="auto"/>
          <w:sz w:val="32"/>
          <w:szCs w:val="32"/>
        </w:rPr>
        <w:t>支出进度</w:t>
      </w:r>
    </w:p>
    <w:p w14:paraId="29342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单位</w:t>
      </w:r>
      <w:r>
        <w:rPr>
          <w:rFonts w:hint="eastAsia" w:ascii="仿宋_GB2312" w:hAnsi="仿宋_GB2312" w:eastAsia="仿宋_GB2312" w:cs="仿宋_GB2312"/>
          <w:sz w:val="32"/>
          <w:szCs w:val="32"/>
        </w:rPr>
        <w:t>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按照</w:t>
      </w:r>
      <w:r>
        <w:rPr>
          <w:rFonts w:hint="eastAsia" w:ascii="仿宋_GB2312" w:hAnsi="仿宋_GB2312" w:eastAsia="仿宋_GB2312" w:cs="仿宋_GB2312"/>
          <w:sz w:val="32"/>
          <w:szCs w:val="32"/>
        </w:rPr>
        <w:t>《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河北建筑工程学院预算管理实施细则</w:t>
      </w:r>
      <w:r>
        <w:rPr>
          <w:rFonts w:hint="eastAsia" w:ascii="仿宋_GB2312" w:hAnsi="仿宋_GB2312" w:eastAsia="仿宋_GB2312" w:cs="仿宋_GB2312"/>
          <w:sz w:val="32"/>
          <w:szCs w:val="32"/>
        </w:rPr>
        <w:t>》（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校政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〔202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号）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相关规定，进一步强化预算执行主体责任，按照批复的预算及时组织项目实施，</w:t>
      </w:r>
      <w:r>
        <w:rPr>
          <w:rFonts w:hint="eastAsia" w:ascii="仿宋_GB2312" w:hAnsi="仿宋_GB2312" w:eastAsia="仿宋_GB2312" w:cs="仿宋_GB2312"/>
          <w:sz w:val="32"/>
          <w:szCs w:val="32"/>
        </w:rPr>
        <w:t>涉及政府采购的预算项目，提早进入采购程序，争取早支出、早见效，尽早发挥财政资金使用效益。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按照财政厅的要求，</w:t>
      </w:r>
      <w:r>
        <w:rPr>
          <w:rFonts w:hint="eastAsia" w:ascii="仿宋_GB2312" w:hAnsi="仿宋_GB2312" w:eastAsia="仿宋_GB2312" w:cs="仿宋_GB2312"/>
          <w:sz w:val="32"/>
          <w:szCs w:val="32"/>
        </w:rPr>
        <w:t>预算资金支出进度到6月底、10月底，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应</w:t>
      </w:r>
      <w:r>
        <w:rPr>
          <w:rFonts w:hint="eastAsia" w:ascii="仿宋_GB2312" w:hAnsi="仿宋_GB2312" w:eastAsia="仿宋_GB2312" w:cs="仿宋_GB2312"/>
          <w:sz w:val="32"/>
          <w:szCs w:val="32"/>
        </w:rPr>
        <w:t>分别达到60%、90%以上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我校实行支出进度与经费分配挂钩，各单位要高度重视预算资金支出进度问题。</w:t>
      </w:r>
    </w:p>
    <w:p w14:paraId="00CDA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三、加强预算绩效管理</w:t>
      </w:r>
    </w:p>
    <w:p w14:paraId="66C68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各单位是预算绩效管理的责任主体，要牢固树立绩效意识，建立上下协调、层层抓落实的工作责任制，将绩效管理责任分解落实到资金执行单位、明确到具体责任人，确保预算绩效管理延伸至资金使用终端。各单位要加强全过程预算绩效管理，促进绩效管理与预算管理深度融合。要着力加强绩效运行监控，对年初设定的预算绩效目标实现程度和预算执行进度实行“双监控”，发现问题及时纠正，确保绩效目标如期保质保量实现。</w:t>
      </w:r>
    </w:p>
    <w:p w14:paraId="33782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年度预算执行终了，各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单位</w:t>
      </w:r>
      <w:r>
        <w:rPr>
          <w:rFonts w:hint="eastAsia" w:ascii="仿宋_GB2312" w:hAnsi="仿宋_GB2312" w:eastAsia="仿宋_GB2312" w:cs="仿宋_GB2312"/>
          <w:sz w:val="32"/>
          <w:szCs w:val="32"/>
        </w:rPr>
        <w:t>要对管理或使用的所有专项资金和项目支出资金开展绩效自评，重点评价年初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预算</w:t>
      </w:r>
      <w:r>
        <w:rPr>
          <w:rFonts w:hint="eastAsia" w:ascii="仿宋_GB2312" w:hAnsi="仿宋_GB2312" w:eastAsia="仿宋_GB2312" w:cs="仿宋_GB2312"/>
          <w:sz w:val="32"/>
          <w:szCs w:val="32"/>
        </w:rPr>
        <w:t>绩效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目</w:t>
      </w:r>
      <w:r>
        <w:rPr>
          <w:rFonts w:hint="eastAsia" w:ascii="仿宋_GB2312" w:hAnsi="仿宋_GB2312" w:eastAsia="仿宋_GB2312" w:cs="仿宋_GB2312"/>
          <w:sz w:val="32"/>
          <w:szCs w:val="32"/>
        </w:rPr>
        <w:t>标的实现情况，形成自评报告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。各单位要对</w:t>
      </w:r>
      <w:r>
        <w:rPr>
          <w:rFonts w:hint="eastAsia" w:ascii="仿宋_GB2312" w:hAnsi="仿宋_GB2312" w:eastAsia="仿宋_GB2312" w:cs="仿宋_GB2312"/>
          <w:sz w:val="32"/>
          <w:szCs w:val="32"/>
        </w:rPr>
        <w:t>自评结果的真实性、合法性、完整性负责。</w:t>
      </w:r>
    </w:p>
    <w:p w14:paraId="77D52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79D5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_GB2312" w:hAnsi="仿宋" w:eastAsia="仿宋_GB2312" w:cs="仿宋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河北建筑工程学院</w:t>
      </w:r>
      <w:r>
        <w:rPr>
          <w:rFonts w:hint="eastAsia" w:ascii="仿宋_GB2312" w:hAnsi="仿宋_GB2312" w:eastAsia="仿宋_GB2312" w:cs="仿宋_GB2312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年收支预算总表</w:t>
      </w:r>
    </w:p>
    <w:p w14:paraId="68D288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_GB2312" w:cs="仿宋"/>
          <w:sz w:val="32"/>
          <w:szCs w:val="32"/>
          <w:lang w:val="en-US" w:eastAsia="zh-CN"/>
        </w:rPr>
      </w:pPr>
    </w:p>
    <w:p w14:paraId="55F04A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B2FAF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5F2000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2025年2月18日  </w:t>
      </w:r>
    </w:p>
    <w:p w14:paraId="5FF224DD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881F922">
      <w:pPr>
        <w:rPr>
          <w:rFonts w:hint="eastAsia"/>
          <w:lang w:val="en-US" w:eastAsia="zh-CN"/>
        </w:rPr>
      </w:pPr>
    </w:p>
    <w:p w14:paraId="2974AE8B">
      <w:pPr>
        <w:rPr>
          <w:rFonts w:hint="eastAsia"/>
          <w:lang w:val="en-US" w:eastAsia="zh-CN"/>
        </w:rPr>
      </w:pPr>
    </w:p>
    <w:p w14:paraId="02AD04DF">
      <w:pPr>
        <w:rPr>
          <w:rFonts w:hint="eastAsia"/>
          <w:lang w:val="en-US" w:eastAsia="zh-CN"/>
        </w:rPr>
      </w:pPr>
    </w:p>
    <w:p w14:paraId="28C5B66A">
      <w:pPr>
        <w:rPr>
          <w:rFonts w:hint="eastAsia"/>
          <w:lang w:val="en-US" w:eastAsia="zh-CN"/>
        </w:rPr>
      </w:pPr>
    </w:p>
    <w:p w14:paraId="70AFC7E3">
      <w:pPr>
        <w:rPr>
          <w:rFonts w:hint="eastAsia"/>
          <w:lang w:val="en-US" w:eastAsia="zh-CN"/>
        </w:rPr>
      </w:pPr>
    </w:p>
    <w:p w14:paraId="71687F02">
      <w:pPr>
        <w:rPr>
          <w:rFonts w:hint="eastAsia"/>
          <w:lang w:val="en-US" w:eastAsia="zh-CN"/>
        </w:rPr>
      </w:pPr>
    </w:p>
    <w:p w14:paraId="2054BBF9">
      <w:pPr>
        <w:rPr>
          <w:rFonts w:hint="eastAsia"/>
          <w:lang w:val="en-US" w:eastAsia="zh-CN"/>
        </w:rPr>
      </w:pPr>
    </w:p>
    <w:p w14:paraId="24B7FAE4">
      <w:pPr>
        <w:rPr>
          <w:rFonts w:hint="eastAsia"/>
          <w:lang w:val="en-US" w:eastAsia="zh-CN"/>
        </w:rPr>
      </w:pPr>
    </w:p>
    <w:p w14:paraId="6F5B22F7">
      <w:pPr>
        <w:rPr>
          <w:rFonts w:hint="eastAsia"/>
          <w:lang w:val="en-US" w:eastAsia="zh-CN"/>
        </w:rPr>
      </w:pPr>
    </w:p>
    <w:p w14:paraId="367BEB21">
      <w:pPr>
        <w:rPr>
          <w:rFonts w:hint="eastAsia"/>
          <w:lang w:val="en-US" w:eastAsia="zh-CN"/>
        </w:rPr>
      </w:pPr>
    </w:p>
    <w:p w14:paraId="3AB249AC">
      <w:pPr>
        <w:rPr>
          <w:rFonts w:hint="eastAsia"/>
          <w:lang w:val="en-US" w:eastAsia="zh-CN"/>
        </w:rPr>
      </w:pPr>
    </w:p>
    <w:p w14:paraId="7CE2C2D7">
      <w:pPr>
        <w:rPr>
          <w:rFonts w:hint="eastAsia"/>
          <w:lang w:val="en-US" w:eastAsia="zh-CN"/>
        </w:rPr>
      </w:pPr>
    </w:p>
    <w:p w14:paraId="05126094">
      <w:pPr>
        <w:rPr>
          <w:rFonts w:hint="eastAsia"/>
          <w:lang w:val="en-US" w:eastAsia="zh-CN"/>
        </w:rPr>
      </w:pPr>
    </w:p>
    <w:p w14:paraId="593BFC89">
      <w:pPr>
        <w:rPr>
          <w:rFonts w:hint="eastAsia"/>
          <w:lang w:val="en-US" w:eastAsia="zh-CN"/>
        </w:rPr>
      </w:pPr>
    </w:p>
    <w:p w14:paraId="34317718">
      <w:pPr>
        <w:rPr>
          <w:rFonts w:hint="eastAsia"/>
          <w:lang w:val="en-US" w:eastAsia="zh-CN"/>
        </w:rPr>
      </w:pPr>
    </w:p>
    <w:p w14:paraId="45215C4E">
      <w:pPr>
        <w:rPr>
          <w:rFonts w:hint="eastAsia"/>
          <w:lang w:val="en-US" w:eastAsia="zh-CN"/>
        </w:rPr>
      </w:pPr>
    </w:p>
    <w:p w14:paraId="4DFD49CE">
      <w:pPr>
        <w:rPr>
          <w:rFonts w:hint="eastAsia"/>
          <w:lang w:val="en-US" w:eastAsia="zh-CN"/>
        </w:rPr>
      </w:pPr>
    </w:p>
    <w:p w14:paraId="0EBF2A9D">
      <w:pPr>
        <w:rPr>
          <w:rFonts w:hint="eastAsia"/>
          <w:lang w:val="en-US" w:eastAsia="zh-CN"/>
        </w:rPr>
      </w:pPr>
    </w:p>
    <w:p w14:paraId="33106E7E">
      <w:pPr>
        <w:rPr>
          <w:rFonts w:hint="eastAsia"/>
          <w:lang w:val="en-US" w:eastAsia="zh-CN"/>
        </w:rPr>
      </w:pPr>
    </w:p>
    <w:p w14:paraId="4FA59D82">
      <w:pPr>
        <w:rPr>
          <w:rFonts w:hint="eastAsia"/>
          <w:lang w:val="en-US" w:eastAsia="zh-CN"/>
        </w:rPr>
      </w:pPr>
    </w:p>
    <w:p w14:paraId="08CF5B57">
      <w:pPr>
        <w:rPr>
          <w:rFonts w:hint="eastAsia"/>
          <w:lang w:val="en-US" w:eastAsia="zh-CN"/>
        </w:rPr>
      </w:pPr>
    </w:p>
    <w:p w14:paraId="360B5AC9">
      <w:pPr>
        <w:rPr>
          <w:rFonts w:hint="eastAsia"/>
          <w:lang w:val="en-US" w:eastAsia="zh-CN"/>
        </w:rPr>
      </w:pPr>
    </w:p>
    <w:p w14:paraId="3831E8CE">
      <w:pPr>
        <w:rPr>
          <w:rFonts w:hint="eastAsia"/>
          <w:lang w:val="en-US" w:eastAsia="zh-CN"/>
        </w:rPr>
      </w:pPr>
    </w:p>
    <w:p w14:paraId="712EA63A">
      <w:pPr>
        <w:rPr>
          <w:rFonts w:hint="eastAsia"/>
          <w:lang w:val="en-US" w:eastAsia="zh-CN"/>
        </w:rPr>
      </w:pPr>
    </w:p>
    <w:p w14:paraId="5F58106B">
      <w:pPr>
        <w:rPr>
          <w:rFonts w:hint="eastAsia"/>
          <w:lang w:val="en-US" w:eastAsia="zh-CN"/>
        </w:rPr>
      </w:pPr>
    </w:p>
    <w:p w14:paraId="23BD22CF">
      <w:pPr>
        <w:rPr>
          <w:rFonts w:hint="eastAsia"/>
          <w:lang w:val="en-US" w:eastAsia="zh-CN"/>
        </w:rPr>
      </w:pPr>
    </w:p>
    <w:p w14:paraId="504A50AB">
      <w:pPr>
        <w:rPr>
          <w:rFonts w:hint="eastAsia"/>
          <w:lang w:val="en-US" w:eastAsia="zh-CN"/>
        </w:rPr>
      </w:pPr>
    </w:p>
    <w:p w14:paraId="13E6A653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18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12054118">
      <w:pPr>
        <w:tabs>
          <w:tab w:val="left" w:pos="1904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6DA446E3">
      <w:pPr>
        <w:tabs>
          <w:tab w:val="left" w:pos="1904"/>
        </w:tabs>
        <w:bidi w:val="0"/>
        <w:jc w:val="left"/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 w:bidi="ar-SA"/>
        </w:rPr>
        <w:t>附件</w:t>
      </w:r>
    </w:p>
    <w:p w14:paraId="108FC043">
      <w:pPr>
        <w:tabs>
          <w:tab w:val="left" w:pos="1904"/>
        </w:tabs>
        <w:bidi w:val="0"/>
        <w:jc w:val="center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河北建筑工程学院2025年收支预算总表</w:t>
      </w:r>
    </w:p>
    <w:p w14:paraId="290B47CC">
      <w:pPr>
        <w:keepNext w:val="0"/>
        <w:keepLines w:val="0"/>
        <w:pageBreakBefore w:val="0"/>
        <w:widowControl w:val="0"/>
        <w:tabs>
          <w:tab w:val="left" w:pos="190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right"/>
        <w:textAlignment w:val="auto"/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24"/>
          <w:lang w:val="en-US" w:eastAsia="zh-CN" w:bidi="ar-SA"/>
        </w:rPr>
        <w:t>单  位：万  元</w:t>
      </w:r>
    </w:p>
    <w:tbl>
      <w:tblPr>
        <w:tblStyle w:val="5"/>
        <w:tblW w:w="1064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"/>
        <w:gridCol w:w="2878"/>
        <w:gridCol w:w="1290"/>
        <w:gridCol w:w="465"/>
        <w:gridCol w:w="2728"/>
        <w:gridCol w:w="1260"/>
        <w:gridCol w:w="1589"/>
      </w:tblGrid>
      <w:tr w14:paraId="30D1F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08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B34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收 入 项 目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92F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     额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114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7F6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支 出 项 目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8A6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      额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E3C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    注</w:t>
            </w:r>
          </w:p>
        </w:tc>
      </w:tr>
      <w:tr w14:paraId="0FA18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C77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0DDDA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一般公共预算拨款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F75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26248.84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C1F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C22FF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人员经费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198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22774.56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ED476F">
            <w:pPr>
              <w:jc w:val="both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96AC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E8E3C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576AE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⑴ 基本财政拨款（限额拨款7770.91万、公积金拨款152.97万）财政审核增加人员经费1033.24万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096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8957.12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8CB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A1D31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公用经费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ADD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6100.88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4285D9">
            <w:pPr>
              <w:jc w:val="both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27DF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7DD273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44808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⑵ 项目财政拨款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02D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14768.40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840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9F05A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科研支出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7AF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3300.00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8BC8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918F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79721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F6D0C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     中央资金提前下达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D09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2999.80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68E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7F718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还本付息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4D5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1450.00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1FE18F">
            <w:pPr>
              <w:jc w:val="both"/>
              <w:rPr>
                <w:rFonts w:hint="eastAsia" w:ascii="黑体" w:hAnsi="宋体" w:eastAsia="黑体" w:cs="黑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0DB6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D515BA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E8700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     省级资金提前下达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57B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11766.60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C9C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A9294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学生奖助学金支出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D83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2335.00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FD603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5F8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709461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FCD1F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    高校党建“双创”经费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E12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2.00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5EC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6F507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高校党建“双创”经费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D18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C87A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1957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92918C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7A464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(3)学生奖助学金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24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2335.00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233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186D8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专项项目支出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B5F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1643.80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811C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26DC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472A7A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15B8F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(4)离休干部观光费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754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1.32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81BCD2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5F447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(1)厅定项目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93F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477.80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898F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187A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C7B222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E0E28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(5)资产处置、出租出借及行政事业性收入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68D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121.00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E3DB9B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340F1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其中</w:t>
            </w:r>
            <w:r>
              <w:rPr>
                <w:rStyle w:val="9"/>
                <w:lang w:val="en-US" w:eastAsia="zh-CN" w:bidi="ar"/>
              </w:rPr>
              <w:t>：</w:t>
            </w:r>
            <w:r>
              <w:rPr>
                <w:rStyle w:val="10"/>
                <w:lang w:val="en-US" w:eastAsia="zh-CN" w:bidi="ar"/>
              </w:rPr>
              <w:t>高质量本科教育体系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F07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240.00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3D18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92F9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81DD06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C6401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(6)科技特派员等科研收入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D1B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54.00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312B00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A637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   高水平研究生教育体系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6BF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38.80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79E7F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3C7C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A574F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AC884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（7）离休干部医疗费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327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12.00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277631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2922D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   高层次科研创新体系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BB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199.00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A02AD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890A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653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4B1AA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事业收入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CD0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11440.00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A13411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747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(2)教学、科研、学科建设项目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8B6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250.00 </w:t>
            </w:r>
          </w:p>
        </w:tc>
        <w:tc>
          <w:tcPr>
            <w:tcW w:w="15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A8F8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其中：教学100万、科研100万、学科50万</w:t>
            </w:r>
          </w:p>
        </w:tc>
      </w:tr>
      <w:tr w14:paraId="4D485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ECB53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B8C9F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⑴ 学费、住宿费、函夜大学费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660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10540.00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511F37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D047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3C99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EA4A1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2B3C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62BF74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539A4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⑵  考试考务费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FA3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100.00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FB5A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3C3DD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(3)高校师资队伍建设项目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C76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650.00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A8D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博士安家费及科研启动经费</w:t>
            </w:r>
          </w:p>
        </w:tc>
      </w:tr>
      <w:tr w14:paraId="28B0B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FA16E0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E5960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(3)  科研事业收入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D3F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800.00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29E2D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66C4C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(4)离退休干部医疗费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29C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12.00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5922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7462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35E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88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5E2879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其他收入</w:t>
            </w:r>
          </w:p>
        </w:tc>
        <w:tc>
          <w:tcPr>
            <w:tcW w:w="12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2405D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417.40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76B56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687A1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(5)信息资源保障体系建设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6B7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200.00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641A6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0E56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46928D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482C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英才入冀2万、利息收入80万、快递中心运营费13万、捐赠收入150万、其他172.4万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515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417.40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8B48F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DB767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(6)科技特派员支出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E49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54.00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2B8D7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A2AD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5C6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88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 w14:paraId="35C4DD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上年结转科研经费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528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2500.00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CF2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207BA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学生公寓楼建设费用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4B9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3000.00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DD96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423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B0903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0D6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    计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428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40606.24 </w:t>
            </w:r>
          </w:p>
        </w:tc>
        <w:tc>
          <w:tcPr>
            <w:tcW w:w="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2F4B6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D29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      计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AC9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40606.24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C126C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114E4F48">
      <w:pPr>
        <w:tabs>
          <w:tab w:val="left" w:pos="1904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</w:p>
    <w:p w14:paraId="71D0C46F"/>
    <w:sectPr>
      <w:headerReference r:id="rId3" w:type="default"/>
      <w:footerReference r:id="rId4" w:type="default"/>
      <w:pgSz w:w="16838" w:h="11906" w:orient="landscape"/>
      <w:pgMar w:top="1519" w:right="1440" w:bottom="1519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06A19">
    <w:pPr>
      <w:pStyle w:val="3"/>
      <w:tabs>
        <w:tab w:val="clear" w:pos="4153"/>
      </w:tabs>
      <w:rPr>
        <w:rFonts w:hint="eastAsia" w:ascii="宋体" w:hAnsi="宋体" w:eastAsia="宋体" w:cs="宋体"/>
        <w:b w:val="0"/>
        <w:bCs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0D6A05"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10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90D6A05"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10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30B5E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277B3"/>
    <w:rsid w:val="54DA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00" w:after="0"/>
      <w:outlineLvl w:val="1"/>
    </w:pPr>
    <w:rPr>
      <w:rFonts w:ascii="Cambria" w:hAnsi="Cambria" w:cs="Times New Roman"/>
      <w:b/>
      <w:bCs/>
      <w:color w:val="4F81BD"/>
      <w:sz w:val="26"/>
      <w:szCs w:val="26"/>
      <w:lang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正-文"/>
    <w:basedOn w:val="1"/>
    <w:qFormat/>
    <w:uiPriority w:val="0"/>
    <w:pPr>
      <w:spacing w:line="560" w:lineRule="exact"/>
      <w:ind w:firstLine="640" w:firstLineChars="200"/>
    </w:pPr>
    <w:rPr>
      <w:rFonts w:ascii="仿宋" w:hAnsi="仿宋" w:eastAsia="仿宋"/>
      <w:sz w:val="32"/>
      <w:szCs w:val="32"/>
    </w:rPr>
  </w:style>
  <w:style w:type="character" w:customStyle="1" w:styleId="9">
    <w:name w:val="font61"/>
    <w:basedOn w:val="7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0">
    <w:name w:val="font7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2025-02-26T06:47:54Z</dcterms:created>
  <dc:creator>Administrator</dc:creator>
  <cp:lastModifiedBy>aa</cp:lastModifiedBy>
  <dcterms:modified xsi:type="dcterms:W3CDTF">2025-02-26T06:50:02Z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eyJoZGlkIjoiOGY4ODMwOWI2ZDE2OWVjY2Y4YWZhZDdhYzI3MTc2NzUifQ==</vt:lpwstr>
  </property>
  <property fmtid="{D5CDD505-2E9C-101B-9397-08002B2CF9AE}" pid="4" name="ICV">
    <vt:lpwstr>FEFB12584CDB489AB6DA3331FD9D1142_13</vt:lpwstr>
  </property>
</Properties>
</file>