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56E8CA">
      <w:pPr>
        <w:jc w:val="center"/>
        <w:rPr>
          <w:rFonts w:hint="default" w:eastAsia="宋体"/>
          <w:b/>
          <w:color w:val="FF0000"/>
          <w:sz w:val="44"/>
          <w:szCs w:val="44"/>
          <w:lang w:val="en-US" w:eastAsia="zh-CN"/>
        </w:rPr>
      </w:pPr>
    </w:p>
    <w:p w14:paraId="3924381B">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63502526">
      <w:pPr>
        <w:ind w:firstLine="270" w:firstLineChars="100"/>
        <w:jc w:val="both"/>
        <w:rPr>
          <w:rFonts w:hint="eastAsia" w:ascii="宋体" w:hAnsi="宋体"/>
          <w:color w:val="000000"/>
          <w:sz w:val="27"/>
          <w:szCs w:val="27"/>
        </w:rPr>
      </w:pPr>
    </w:p>
    <w:p w14:paraId="24338CE6">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65</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73CF088D">
      <w:pPr>
        <w:jc w:val="center"/>
        <w:rPr>
          <w:rFonts w:hint="eastAsia"/>
          <w:szCs w:val="21"/>
        </w:rPr>
      </w:pPr>
    </w:p>
    <w:p w14:paraId="418FCC8B">
      <w:pPr>
        <w:jc w:val="center"/>
        <w:rPr>
          <w:rFonts w:hint="eastAsia" w:eastAsia="宋体"/>
          <w:szCs w:val="21"/>
          <w:lang w:val="en-US" w:eastAsia="zh-CN"/>
        </w:rPr>
      </w:pPr>
      <w:r>
        <w:rPr>
          <w:rFonts w:hint="eastAsia"/>
          <w:szCs w:val="21"/>
          <w:lang w:val="en-US" w:eastAsia="zh-CN"/>
        </w:rPr>
        <w:t xml:space="preserve"> </w:t>
      </w:r>
    </w:p>
    <w:p w14:paraId="7BF89901">
      <w:pPr>
        <w:rPr>
          <w:rFonts w:hint="eastAsia"/>
          <w:szCs w:val="21"/>
        </w:rPr>
      </w:pPr>
    </w:p>
    <w:p w14:paraId="70FDE735">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rPr>
      </w:pPr>
      <w:r>
        <w:rPr>
          <w:rFonts w:hint="eastAsia" w:ascii="宋体" w:hAnsi="宋体" w:eastAsia="宋体" w:cs="宋体"/>
          <w:b/>
          <w:bCs/>
          <w:color w:val="auto"/>
          <w:spacing w:val="0"/>
          <w:sz w:val="44"/>
          <w:szCs w:val="44"/>
        </w:rPr>
        <w:t>关于开展2024年度职称申报评审工作的</w:t>
      </w:r>
    </w:p>
    <w:p w14:paraId="276BD9CA">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rPr>
      </w:pPr>
      <w:r>
        <w:rPr>
          <w:rFonts w:hint="eastAsia" w:ascii="宋体" w:hAnsi="宋体" w:eastAsia="宋体" w:cs="宋体"/>
          <w:b/>
          <w:bCs/>
          <w:color w:val="auto"/>
          <w:spacing w:val="0"/>
          <w:sz w:val="44"/>
          <w:szCs w:val="44"/>
        </w:rPr>
        <w:t>通</w:t>
      </w:r>
      <w:r>
        <w:rPr>
          <w:rFonts w:hint="eastAsia" w:ascii="宋体" w:hAnsi="宋体" w:eastAsia="宋体" w:cs="宋体"/>
          <w:b/>
          <w:bCs/>
          <w:color w:val="auto"/>
          <w:spacing w:val="0"/>
          <w:sz w:val="44"/>
          <w:szCs w:val="44"/>
          <w:lang w:val="en-US" w:eastAsia="zh-CN"/>
        </w:rPr>
        <w:t xml:space="preserve"> </w:t>
      </w:r>
      <w:r>
        <w:rPr>
          <w:rFonts w:hint="eastAsia" w:ascii="宋体" w:hAnsi="宋体" w:eastAsia="宋体" w:cs="宋体"/>
          <w:b/>
          <w:bCs/>
          <w:color w:val="auto"/>
          <w:spacing w:val="0"/>
          <w:sz w:val="44"/>
          <w:szCs w:val="44"/>
        </w:rPr>
        <w:t>知</w:t>
      </w:r>
    </w:p>
    <w:p w14:paraId="21783520">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仿宋" w:hAnsi="仿宋" w:eastAsia="仿宋" w:cs="仿宋"/>
          <w:bCs/>
          <w:color w:val="auto"/>
          <w:sz w:val="32"/>
          <w:szCs w:val="32"/>
          <w:lang w:eastAsia="zh-CN"/>
        </w:rPr>
      </w:pPr>
    </w:p>
    <w:p w14:paraId="5CD816F6">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b w:val="0"/>
          <w:bCs/>
          <w:sz w:val="32"/>
          <w:szCs w:val="32"/>
        </w:rPr>
      </w:pPr>
      <w:r>
        <w:rPr>
          <w:rFonts w:hint="eastAsia" w:ascii="仿宋" w:hAnsi="仿宋" w:eastAsia="仿宋" w:cs="仿宋"/>
          <w:b w:val="0"/>
          <w:bCs/>
          <w:sz w:val="32"/>
          <w:szCs w:val="32"/>
        </w:rPr>
        <w:t>全校各单位：</w:t>
      </w:r>
    </w:p>
    <w:p w14:paraId="416192CF">
      <w:pPr>
        <w:keepNext w:val="0"/>
        <w:keepLines w:val="0"/>
        <w:pageBreakBefore w:val="0"/>
        <w:widowControl/>
        <w:kinsoku/>
        <w:wordWrap/>
        <w:overflowPunct/>
        <w:topLinePunct w:val="0"/>
        <w:autoSpaceDE/>
        <w:autoSpaceDN/>
        <w:bidi w:val="0"/>
        <w:adjustRightInd w:val="0"/>
        <w:snapToGrid w:val="0"/>
        <w:spacing w:line="620" w:lineRule="exact"/>
        <w:ind w:firstLine="640" w:firstLineChars="200"/>
        <w:textAlignment w:val="auto"/>
        <w:rPr>
          <w:rFonts w:hint="eastAsia" w:ascii="仿宋" w:hAnsi="仿宋" w:eastAsia="仿宋" w:cs="仿宋"/>
          <w:color w:val="000000"/>
          <w:kern w:val="0"/>
          <w:sz w:val="32"/>
          <w:szCs w:val="32"/>
          <w:lang w:eastAsia="zh-CN"/>
        </w:rPr>
      </w:pPr>
      <w:r>
        <w:rPr>
          <w:rFonts w:hint="eastAsia" w:ascii="仿宋" w:hAnsi="仿宋" w:eastAsia="仿宋" w:cs="仿宋"/>
          <w:color w:val="000000"/>
          <w:kern w:val="0"/>
          <w:sz w:val="32"/>
          <w:szCs w:val="32"/>
        </w:rPr>
        <w:t>根据</w:t>
      </w:r>
      <w:r>
        <w:rPr>
          <w:rFonts w:hint="eastAsia" w:ascii="仿宋" w:hAnsi="仿宋" w:eastAsia="仿宋" w:cs="仿宋"/>
          <w:color w:val="000000"/>
          <w:kern w:val="0"/>
          <w:sz w:val="32"/>
          <w:szCs w:val="32"/>
          <w:lang w:val="en-US" w:eastAsia="zh-CN"/>
        </w:rPr>
        <w:t>河北省人力资源和社会保障厅《关于印发〈河北省职称评审管理办法〉的通知》（冀人社发</w:t>
      </w:r>
      <w:r>
        <w:rPr>
          <w:rFonts w:hint="eastAsia" w:ascii="仿宋" w:hAnsi="仿宋" w:eastAsia="仿宋" w:cs="仿宋"/>
          <w:color w:val="000000"/>
          <w:kern w:val="0"/>
          <w:sz w:val="32"/>
          <w:szCs w:val="32"/>
        </w:rPr>
        <w:t>〔202</w:t>
      </w:r>
      <w:r>
        <w:rPr>
          <w:rFonts w:hint="eastAsia" w:ascii="仿宋" w:hAnsi="仿宋" w:eastAsia="仿宋" w:cs="仿宋"/>
          <w:color w:val="000000"/>
          <w:kern w:val="0"/>
          <w:sz w:val="32"/>
          <w:szCs w:val="32"/>
          <w:lang w:val="en-US" w:eastAsia="zh-CN"/>
        </w:rPr>
        <w:t>3</w:t>
      </w:r>
      <w:r>
        <w:rPr>
          <w:rFonts w:hint="eastAsia" w:ascii="仿宋" w:hAnsi="仿宋" w:eastAsia="仿宋" w:cs="仿宋"/>
          <w:color w:val="000000"/>
          <w:kern w:val="0"/>
          <w:sz w:val="32"/>
          <w:szCs w:val="32"/>
        </w:rPr>
        <w:t>〕</w:t>
      </w:r>
      <w:r>
        <w:rPr>
          <w:rFonts w:hint="eastAsia" w:ascii="仿宋" w:hAnsi="仿宋" w:eastAsia="仿宋" w:cs="仿宋"/>
          <w:color w:val="000000"/>
          <w:kern w:val="0"/>
          <w:sz w:val="32"/>
          <w:szCs w:val="32"/>
          <w:lang w:val="en-US" w:eastAsia="zh-CN"/>
        </w:rPr>
        <w:t>1</w:t>
      </w:r>
      <w:r>
        <w:rPr>
          <w:rFonts w:hint="eastAsia" w:ascii="仿宋" w:hAnsi="仿宋" w:eastAsia="仿宋" w:cs="仿宋"/>
          <w:color w:val="000000"/>
          <w:kern w:val="0"/>
          <w:sz w:val="32"/>
          <w:szCs w:val="32"/>
        </w:rPr>
        <w:t>号</w:t>
      </w:r>
      <w:r>
        <w:rPr>
          <w:rFonts w:hint="eastAsia" w:ascii="仿宋" w:hAnsi="仿宋" w:eastAsia="仿宋" w:cs="仿宋"/>
          <w:color w:val="000000"/>
          <w:kern w:val="0"/>
          <w:sz w:val="32"/>
          <w:szCs w:val="32"/>
          <w:lang w:eastAsia="zh-CN"/>
        </w:rPr>
        <w:t>）、</w:t>
      </w:r>
      <w:r>
        <w:rPr>
          <w:rFonts w:hint="eastAsia" w:ascii="仿宋" w:hAnsi="仿宋" w:eastAsia="仿宋" w:cs="仿宋"/>
          <w:color w:val="000000"/>
          <w:kern w:val="0"/>
          <w:sz w:val="32"/>
          <w:szCs w:val="32"/>
        </w:rPr>
        <w:t>《关于做好202</w:t>
      </w:r>
      <w:r>
        <w:rPr>
          <w:rFonts w:hint="eastAsia" w:ascii="仿宋" w:hAnsi="仿宋" w:eastAsia="仿宋" w:cs="仿宋"/>
          <w:color w:val="000000"/>
          <w:kern w:val="0"/>
          <w:sz w:val="32"/>
          <w:szCs w:val="32"/>
          <w:lang w:val="en-US" w:eastAsia="zh-CN"/>
        </w:rPr>
        <w:t>4</w:t>
      </w:r>
      <w:r>
        <w:rPr>
          <w:rFonts w:hint="eastAsia" w:ascii="仿宋" w:hAnsi="仿宋" w:eastAsia="仿宋" w:cs="仿宋"/>
          <w:color w:val="000000"/>
          <w:kern w:val="0"/>
          <w:sz w:val="32"/>
          <w:szCs w:val="32"/>
        </w:rPr>
        <w:t>年全省职称申报评审工作的通知》（冀人社字〔2024〕100号）</w:t>
      </w:r>
      <w:r>
        <w:rPr>
          <w:rFonts w:hint="eastAsia" w:ascii="仿宋" w:hAnsi="仿宋" w:eastAsia="仿宋" w:cs="仿宋"/>
          <w:color w:val="000000"/>
          <w:kern w:val="0"/>
          <w:sz w:val="32"/>
          <w:szCs w:val="32"/>
          <w:lang w:eastAsia="zh-CN"/>
        </w:rPr>
        <w:t>、</w:t>
      </w:r>
      <w:r>
        <w:rPr>
          <w:rFonts w:hint="eastAsia" w:ascii="仿宋" w:hAnsi="仿宋" w:eastAsia="仿宋" w:cs="仿宋"/>
          <w:color w:val="000000"/>
          <w:kern w:val="0"/>
          <w:sz w:val="32"/>
          <w:szCs w:val="32"/>
          <w:lang w:val="en-US" w:eastAsia="zh-CN"/>
        </w:rPr>
        <w:t>教育厅《关于做好2024年职称有关工作的通知》</w:t>
      </w:r>
      <w:r>
        <w:rPr>
          <w:rFonts w:hint="eastAsia" w:ascii="仿宋" w:hAnsi="仿宋" w:eastAsia="仿宋" w:cs="仿宋"/>
          <w:color w:val="000000"/>
          <w:kern w:val="0"/>
          <w:sz w:val="32"/>
          <w:szCs w:val="32"/>
        </w:rPr>
        <w:t>要求，202</w:t>
      </w:r>
      <w:r>
        <w:rPr>
          <w:rFonts w:hint="eastAsia" w:ascii="仿宋" w:hAnsi="仿宋" w:eastAsia="仿宋" w:cs="仿宋"/>
          <w:color w:val="000000"/>
          <w:kern w:val="0"/>
          <w:sz w:val="32"/>
          <w:szCs w:val="32"/>
          <w:lang w:val="en-US" w:eastAsia="zh-CN"/>
        </w:rPr>
        <w:t>4</w:t>
      </w:r>
      <w:r>
        <w:rPr>
          <w:rFonts w:hint="eastAsia" w:ascii="仿宋" w:hAnsi="仿宋" w:eastAsia="仿宋" w:cs="仿宋"/>
          <w:color w:val="000000"/>
          <w:kern w:val="0"/>
          <w:sz w:val="32"/>
          <w:szCs w:val="32"/>
        </w:rPr>
        <w:t>年职称申报评审工作</w:t>
      </w:r>
      <w:r>
        <w:rPr>
          <w:rFonts w:hint="eastAsia" w:ascii="仿宋" w:hAnsi="仿宋" w:eastAsia="仿宋" w:cs="仿宋"/>
          <w:color w:val="000000"/>
          <w:kern w:val="0"/>
          <w:sz w:val="32"/>
          <w:szCs w:val="32"/>
          <w:lang w:val="en-US" w:eastAsia="zh-CN"/>
        </w:rPr>
        <w:t>继续</w:t>
      </w:r>
      <w:r>
        <w:rPr>
          <w:rFonts w:hint="eastAsia" w:ascii="仿宋" w:hAnsi="仿宋" w:eastAsia="仿宋" w:cs="仿宋"/>
          <w:color w:val="000000"/>
          <w:kern w:val="0"/>
          <w:sz w:val="32"/>
          <w:szCs w:val="32"/>
        </w:rPr>
        <w:t>实行线上线下并行，以线上为主的方式开展，在线上申报的同时提交纸质申报材料，不再提交材料原件。</w:t>
      </w:r>
      <w:r>
        <w:rPr>
          <w:rFonts w:hint="eastAsia" w:ascii="仿宋" w:hAnsi="仿宋" w:eastAsia="仿宋" w:cs="仿宋"/>
          <w:color w:val="000000"/>
          <w:kern w:val="0"/>
          <w:sz w:val="32"/>
          <w:szCs w:val="32"/>
          <w:lang w:val="en-US" w:eastAsia="zh-CN"/>
        </w:rPr>
        <w:t>教学系列申报条件按照学校《关于印发〈河北建筑工程学院高等学校教师系列职称申报评审条件〉〈河北建筑工程学院高等学校教师系列学生思想政治教育专业职称申报评审条件〉的通知》（校政〔2024〕29号）执行，其他系列按照河北省专业技术职务任职资格评审条件执行。</w:t>
      </w:r>
      <w:r>
        <w:rPr>
          <w:rFonts w:hint="eastAsia" w:ascii="仿宋" w:hAnsi="仿宋" w:eastAsia="仿宋" w:cs="仿宋"/>
          <w:color w:val="000000"/>
          <w:kern w:val="0"/>
          <w:sz w:val="32"/>
          <w:szCs w:val="32"/>
        </w:rPr>
        <w:t>现结合我校实际，就做好我校202</w:t>
      </w:r>
      <w:r>
        <w:rPr>
          <w:rFonts w:hint="eastAsia" w:ascii="仿宋" w:hAnsi="仿宋" w:eastAsia="仿宋" w:cs="仿宋"/>
          <w:color w:val="000000"/>
          <w:kern w:val="0"/>
          <w:sz w:val="32"/>
          <w:szCs w:val="32"/>
          <w:lang w:val="en-US" w:eastAsia="zh-CN"/>
        </w:rPr>
        <w:t>4</w:t>
      </w:r>
      <w:r>
        <w:rPr>
          <w:rFonts w:hint="eastAsia" w:ascii="仿宋" w:hAnsi="仿宋" w:eastAsia="仿宋" w:cs="仿宋"/>
          <w:color w:val="000000"/>
          <w:kern w:val="0"/>
          <w:sz w:val="32"/>
          <w:szCs w:val="32"/>
        </w:rPr>
        <w:t>年度职称申报评审工作通知如下</w:t>
      </w:r>
      <w:r>
        <w:rPr>
          <w:rFonts w:hint="eastAsia" w:ascii="仿宋" w:hAnsi="仿宋" w:eastAsia="仿宋" w:cs="仿宋"/>
          <w:color w:val="000000"/>
          <w:kern w:val="0"/>
          <w:sz w:val="32"/>
          <w:szCs w:val="32"/>
          <w:lang w:eastAsia="zh-CN"/>
        </w:rPr>
        <w:t>。</w:t>
      </w:r>
    </w:p>
    <w:p w14:paraId="5575EE6F">
      <w:pPr>
        <w:keepNext w:val="0"/>
        <w:keepLines w:val="0"/>
        <w:pageBreakBefore w:val="0"/>
        <w:widowControl/>
        <w:kinsoku/>
        <w:wordWrap/>
        <w:overflowPunct/>
        <w:topLinePunct w:val="0"/>
        <w:autoSpaceDN/>
        <w:bidi w:val="0"/>
        <w:spacing w:line="600" w:lineRule="exact"/>
        <w:ind w:firstLine="570"/>
        <w:jc w:val="left"/>
        <w:textAlignment w:val="auto"/>
        <w:rPr>
          <w:rFonts w:hint="default" w:ascii="黑体" w:hAnsi="黑体" w:eastAsia="黑体" w:cs="黑体"/>
          <w:bCs/>
          <w:color w:val="000000"/>
          <w:kern w:val="0"/>
          <w:sz w:val="32"/>
          <w:szCs w:val="32"/>
          <w:lang w:val="en-US"/>
        </w:rPr>
      </w:pPr>
      <w:r>
        <w:rPr>
          <w:rFonts w:hint="eastAsia" w:ascii="黑体" w:hAnsi="黑体" w:eastAsia="黑体" w:cs="黑体"/>
          <w:bCs/>
          <w:color w:val="000000"/>
          <w:kern w:val="0"/>
          <w:sz w:val="32"/>
          <w:szCs w:val="32"/>
        </w:rPr>
        <w:t>一、</w:t>
      </w:r>
      <w:r>
        <w:rPr>
          <w:rFonts w:hint="eastAsia" w:ascii="黑体" w:hAnsi="黑体" w:eastAsia="黑体" w:cs="黑体"/>
          <w:bCs/>
          <w:color w:val="000000"/>
          <w:kern w:val="0"/>
          <w:sz w:val="32"/>
          <w:szCs w:val="32"/>
          <w:lang w:val="en-US" w:eastAsia="zh-CN"/>
        </w:rPr>
        <w:t>坚持德才兼备、以德为先，注重实绩</w:t>
      </w:r>
    </w:p>
    <w:p w14:paraId="2611E058">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eastAsia="zh-CN"/>
        </w:rPr>
      </w:pPr>
      <w:r>
        <w:rPr>
          <w:rFonts w:hint="eastAsia" w:ascii="仿宋" w:hAnsi="仿宋" w:eastAsia="仿宋" w:cs="仿宋"/>
          <w:b w:val="0"/>
          <w:bCs/>
          <w:sz w:val="32"/>
          <w:szCs w:val="32"/>
          <w:lang w:val="en-US" w:eastAsia="zh-CN"/>
        </w:rPr>
        <w:t>各二级单位要按照职称系列改革方案要求，重点评价职业道德、创新价值、能力水平和实际贡献，不唯学历、不唯资历、不唯论文、不唯奖项，</w:t>
      </w:r>
      <w:r>
        <w:rPr>
          <w:rFonts w:hint="eastAsia" w:ascii="仿宋" w:hAnsi="仿宋" w:eastAsia="仿宋" w:cs="仿宋"/>
          <w:b w:val="0"/>
          <w:bCs/>
          <w:sz w:val="32"/>
          <w:szCs w:val="32"/>
        </w:rPr>
        <w:t>将师德</w:t>
      </w:r>
      <w:r>
        <w:rPr>
          <w:rFonts w:hint="eastAsia" w:ascii="仿宋" w:hAnsi="仿宋" w:eastAsia="仿宋" w:cs="仿宋"/>
          <w:b w:val="0"/>
          <w:bCs/>
          <w:sz w:val="32"/>
          <w:szCs w:val="32"/>
          <w:lang w:val="en-US" w:eastAsia="zh-CN"/>
        </w:rPr>
        <w:t>考核</w:t>
      </w:r>
      <w:r>
        <w:rPr>
          <w:rFonts w:hint="eastAsia" w:ascii="仿宋" w:hAnsi="仿宋" w:eastAsia="仿宋" w:cs="仿宋"/>
          <w:b w:val="0"/>
          <w:bCs/>
          <w:sz w:val="32"/>
          <w:szCs w:val="32"/>
        </w:rPr>
        <w:t>作为职称评审的首要条件</w:t>
      </w:r>
      <w:r>
        <w:rPr>
          <w:rFonts w:hint="eastAsia" w:ascii="仿宋" w:hAnsi="仿宋" w:eastAsia="仿宋" w:cs="仿宋"/>
          <w:b w:val="0"/>
          <w:bCs/>
          <w:sz w:val="32"/>
          <w:szCs w:val="32"/>
          <w:lang w:eastAsia="zh-CN"/>
        </w:rPr>
        <w:t>，</w:t>
      </w:r>
      <w:r>
        <w:rPr>
          <w:rFonts w:hint="eastAsia" w:ascii="仿宋" w:hAnsi="仿宋" w:eastAsia="仿宋" w:cs="仿宋"/>
          <w:b w:val="0"/>
          <w:bCs/>
          <w:sz w:val="32"/>
          <w:szCs w:val="32"/>
          <w:lang w:val="en-US" w:eastAsia="zh-CN"/>
        </w:rPr>
        <w:t>实行师德“一票否决制”</w:t>
      </w:r>
      <w:r>
        <w:rPr>
          <w:rFonts w:hint="eastAsia" w:ascii="仿宋" w:hAnsi="仿宋" w:eastAsia="仿宋" w:cs="仿宋"/>
          <w:b w:val="0"/>
          <w:bCs/>
          <w:sz w:val="32"/>
          <w:szCs w:val="32"/>
          <w:lang w:eastAsia="zh-CN"/>
        </w:rPr>
        <w:t>。</w:t>
      </w:r>
    </w:p>
    <w:p w14:paraId="15ECF451">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rPr>
      </w:pPr>
      <w:r>
        <w:rPr>
          <w:rFonts w:hint="eastAsia" w:ascii="仿宋" w:hAnsi="仿宋" w:eastAsia="仿宋" w:cs="仿宋"/>
          <w:b w:val="0"/>
          <w:bCs/>
          <w:sz w:val="32"/>
          <w:szCs w:val="32"/>
        </w:rPr>
        <w:t>坚决克服重科研轻教学、重教书轻育人等倾向，强化教学质量考核，强化教学业绩和教学研究，突出评价教书育人实绩，提高教学业绩和教学研究在评审中的比重，把认真履行教育教学职责作为评价教师的基本要求，把参与教研活动、编写教材、社团活动、竞赛展演等计入工作量；要克服“五唯”倾向，规范学术论文指标的使用，论文发表数量和引用情况、期刊影响因子等仅作为评价参考；要强化业绩贡献，注重质量评价导向，推行代表性成果评价；创新评价方式，完善以同行专家评价为基础的业内评议机制，健全信用和惩戒机制，规范评审过程。</w:t>
      </w:r>
    </w:p>
    <w:p w14:paraId="07D0B0CC">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rPr>
      </w:pPr>
      <w:r>
        <w:rPr>
          <w:rFonts w:hint="eastAsia" w:ascii="仿宋" w:hAnsi="仿宋" w:eastAsia="仿宋" w:cs="仿宋"/>
          <w:b w:val="0"/>
          <w:bCs/>
          <w:sz w:val="32"/>
          <w:szCs w:val="32"/>
          <w:lang w:val="en-US" w:eastAsia="zh-CN"/>
        </w:rPr>
        <w:t>各单位要结合</w:t>
      </w:r>
      <w:r>
        <w:rPr>
          <w:rFonts w:hint="eastAsia" w:ascii="仿宋" w:hAnsi="仿宋" w:eastAsia="仿宋" w:cs="仿宋"/>
          <w:b w:val="0"/>
          <w:bCs/>
          <w:sz w:val="32"/>
          <w:szCs w:val="32"/>
        </w:rPr>
        <w:t>师资队伍</w:t>
      </w:r>
      <w:r>
        <w:rPr>
          <w:rFonts w:hint="eastAsia" w:ascii="仿宋" w:hAnsi="仿宋" w:eastAsia="仿宋" w:cs="仿宋"/>
          <w:b w:val="0"/>
          <w:bCs/>
          <w:sz w:val="32"/>
          <w:szCs w:val="32"/>
          <w:lang w:val="en-US" w:eastAsia="zh-CN"/>
        </w:rPr>
        <w:t>结构</w:t>
      </w:r>
      <w:r>
        <w:rPr>
          <w:rFonts w:hint="eastAsia" w:ascii="仿宋" w:hAnsi="仿宋" w:eastAsia="仿宋" w:cs="仿宋"/>
          <w:b w:val="0"/>
          <w:bCs/>
          <w:sz w:val="32"/>
          <w:szCs w:val="32"/>
        </w:rPr>
        <w:t>、学科建设需要和专业技术人员结构比例现状</w:t>
      </w:r>
      <w:r>
        <w:rPr>
          <w:rFonts w:hint="eastAsia" w:ascii="仿宋" w:hAnsi="仿宋" w:eastAsia="仿宋" w:cs="仿宋"/>
          <w:b w:val="0"/>
          <w:bCs/>
          <w:sz w:val="32"/>
          <w:szCs w:val="32"/>
          <w:lang w:val="en-US" w:eastAsia="zh-CN"/>
        </w:rPr>
        <w:t>严把</w:t>
      </w:r>
      <w:r>
        <w:rPr>
          <w:rFonts w:hint="eastAsia" w:ascii="仿宋" w:hAnsi="仿宋" w:eastAsia="仿宋" w:cs="仿宋"/>
          <w:b w:val="0"/>
          <w:bCs/>
          <w:sz w:val="32"/>
          <w:szCs w:val="32"/>
        </w:rPr>
        <w:t>申报</w:t>
      </w:r>
      <w:r>
        <w:rPr>
          <w:rFonts w:hint="eastAsia" w:ascii="仿宋" w:hAnsi="仿宋" w:eastAsia="仿宋" w:cs="仿宋"/>
          <w:b w:val="0"/>
          <w:bCs/>
          <w:sz w:val="32"/>
          <w:szCs w:val="32"/>
          <w:lang w:val="en-US" w:eastAsia="zh-CN"/>
        </w:rPr>
        <w:t>质</w:t>
      </w:r>
      <w:r>
        <w:rPr>
          <w:rFonts w:hint="eastAsia" w:ascii="仿宋" w:hAnsi="仿宋" w:eastAsia="仿宋" w:cs="仿宋"/>
          <w:b w:val="0"/>
          <w:bCs/>
          <w:sz w:val="32"/>
          <w:szCs w:val="32"/>
        </w:rPr>
        <w:t>量，认真开展今年的职称申报评审工作。</w:t>
      </w:r>
    </w:p>
    <w:p w14:paraId="0DFA630B">
      <w:pPr>
        <w:keepNext w:val="0"/>
        <w:keepLines w:val="0"/>
        <w:pageBreakBefore w:val="0"/>
        <w:numPr>
          <w:ilvl w:val="0"/>
          <w:numId w:val="0"/>
        </w:numPr>
        <w:kinsoku/>
        <w:wordWrap/>
        <w:overflowPunct/>
        <w:topLinePunct w:val="0"/>
        <w:autoSpaceDN/>
        <w:bidi w:val="0"/>
        <w:spacing w:line="600" w:lineRule="exact"/>
        <w:ind w:firstLine="640" w:firstLineChars="200"/>
        <w:textAlignment w:val="auto"/>
        <w:rPr>
          <w:rFonts w:ascii="仿宋_GB2312" w:hAnsi="仿宋_GB2312" w:eastAsia="仿宋_GB2312" w:cs="仿宋_GB2312"/>
          <w:color w:val="000000"/>
          <w:kern w:val="0"/>
          <w:sz w:val="32"/>
          <w:szCs w:val="32"/>
        </w:rPr>
      </w:pPr>
      <w:r>
        <w:rPr>
          <w:rFonts w:hint="eastAsia" w:ascii="黑体" w:hAnsi="黑体" w:eastAsia="黑体" w:cs="黑体"/>
          <w:bCs/>
          <w:color w:val="000000"/>
          <w:kern w:val="0"/>
          <w:sz w:val="32"/>
          <w:szCs w:val="32"/>
          <w:lang w:val="en-US" w:eastAsia="zh-CN"/>
        </w:rPr>
        <w:t>二、坚持分类评价</w:t>
      </w:r>
    </w:p>
    <w:p w14:paraId="32701CDC">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教师申报高校教师系列高级职称按教学为主型教师、教学科研并重型教师、科研为主型教师、社会服务型教师四种类型分类申报，由二级单位统一量化计分、排名、向学校推荐。学校以当年各类申报人数和评审指标总量为基础，分配各类指标。高级评委会评审程序和办法，按照我省规定执行。</w:t>
      </w:r>
    </w:p>
    <w:p w14:paraId="65780823">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严格公开公示制度。认真落实我省有关职称申报推荐办法和申报评审公开公示制度，做到政策公开、标准公开、程序公开、结果公开，认真落实申报材料实物和学校局域网电子文本双公示的做法，坚持工作透明，全面接受群众监督。</w:t>
      </w:r>
    </w:p>
    <w:p w14:paraId="7542F0DC">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各单位要按照学校有关政策要求，健全职称工作组织，明确责任分工，建立责任倒查机制。要切实把好资格审查关，发现弄虚作假、徇私舞弊者对个人取消申报资格，对单位核减申报数量并将按有关规定严肃处理。</w:t>
      </w:r>
    </w:p>
    <w:p w14:paraId="1262CE9F">
      <w:pPr>
        <w:keepNext w:val="0"/>
        <w:keepLines w:val="0"/>
        <w:pageBreakBefore w:val="0"/>
        <w:widowControl/>
        <w:kinsoku/>
        <w:wordWrap/>
        <w:overflowPunct/>
        <w:topLinePunct w:val="0"/>
        <w:autoSpaceDN/>
        <w:bidi w:val="0"/>
        <w:spacing w:line="600" w:lineRule="exact"/>
        <w:ind w:firstLine="570"/>
        <w:jc w:val="left"/>
        <w:textAlignment w:val="auto"/>
        <w:rPr>
          <w:rFonts w:ascii="黑体" w:hAnsi="黑体" w:eastAsia="黑体" w:cs="黑体"/>
          <w:bCs/>
          <w:color w:val="000000"/>
          <w:kern w:val="0"/>
          <w:sz w:val="32"/>
          <w:szCs w:val="32"/>
        </w:rPr>
      </w:pPr>
      <w:r>
        <w:rPr>
          <w:rFonts w:hint="eastAsia" w:ascii="黑体" w:hAnsi="黑体" w:eastAsia="黑体" w:cs="黑体"/>
          <w:bCs/>
          <w:color w:val="000000"/>
          <w:kern w:val="0"/>
          <w:sz w:val="32"/>
          <w:szCs w:val="32"/>
        </w:rPr>
        <w:t>三、组织机构</w:t>
      </w:r>
    </w:p>
    <w:p w14:paraId="1B98DC1D">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学校成立职称评审工作领导小组全面负责我校专业技术职务推荐和评审工作。具体成员名单如下：</w:t>
      </w:r>
    </w:p>
    <w:p w14:paraId="5DCA2B4E">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default"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组  长：翁维素 王建民</w:t>
      </w:r>
    </w:p>
    <w:p w14:paraId="3CFC26BB">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副组长：姚冰</w:t>
      </w:r>
    </w:p>
    <w:p w14:paraId="68D2FC94">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成  员：张立群、李  敏、赵海军、徐献彬</w:t>
      </w:r>
    </w:p>
    <w:p w14:paraId="41C6CD16">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领导小组下设办公室。办公室设在人事处，负责学校职称评审的日常工作。</w:t>
      </w:r>
    </w:p>
    <w:p w14:paraId="503BE56A">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办公室主任：人事处负责人</w:t>
      </w:r>
    </w:p>
    <w:p w14:paraId="4A816635">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成  员：教务处、科研处、学生处、研究生处、高等教育研究所、纪检监察室等相关处室负责人</w:t>
      </w:r>
    </w:p>
    <w:p w14:paraId="3E0ED286">
      <w:pPr>
        <w:keepNext w:val="0"/>
        <w:keepLines w:val="0"/>
        <w:pageBreakBefore w:val="0"/>
        <w:widowControl/>
        <w:kinsoku/>
        <w:wordWrap/>
        <w:overflowPunct/>
        <w:topLinePunct w:val="0"/>
        <w:autoSpaceDN/>
        <w:bidi w:val="0"/>
        <w:spacing w:line="600" w:lineRule="exact"/>
        <w:ind w:firstLine="570"/>
        <w:jc w:val="left"/>
        <w:textAlignment w:val="auto"/>
        <w:rPr>
          <w:rFonts w:ascii="黑体" w:hAnsi="黑体" w:eastAsia="黑体" w:cs="黑体"/>
          <w:bCs/>
          <w:color w:val="000000"/>
          <w:kern w:val="0"/>
          <w:sz w:val="32"/>
          <w:szCs w:val="32"/>
        </w:rPr>
      </w:pPr>
      <w:r>
        <w:rPr>
          <w:rFonts w:hint="eastAsia" w:ascii="黑体" w:hAnsi="黑体" w:eastAsia="黑体" w:cs="黑体"/>
          <w:bCs/>
          <w:color w:val="000000"/>
          <w:kern w:val="0"/>
          <w:sz w:val="32"/>
          <w:szCs w:val="32"/>
        </w:rPr>
        <w:t>四、参评范围</w:t>
      </w:r>
    </w:p>
    <w:p w14:paraId="7BEFC4B7">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全校符合晋升高一级专业技术职务或转评条件的专业技术人员。具体条件按《河北省专业技术职务任职资格申报评审条件》执行。在现岗位工作达一年以上，但专业技术职务与现岗位不一致的，应申报转评相应的专业技术职务。</w:t>
      </w:r>
    </w:p>
    <w:p w14:paraId="77356A57">
      <w:pPr>
        <w:keepNext w:val="0"/>
        <w:keepLines w:val="0"/>
        <w:pageBreakBefore w:val="0"/>
        <w:widowControl/>
        <w:kinsoku/>
        <w:wordWrap/>
        <w:overflowPunct/>
        <w:topLinePunct w:val="0"/>
        <w:autoSpaceDN/>
        <w:bidi w:val="0"/>
        <w:spacing w:line="600" w:lineRule="exact"/>
        <w:ind w:firstLine="570"/>
        <w:jc w:val="left"/>
        <w:textAlignment w:val="auto"/>
        <w:rPr>
          <w:rFonts w:ascii="黑体" w:hAnsi="黑体" w:eastAsia="黑体" w:cs="黑体"/>
          <w:bCs/>
          <w:color w:val="000000"/>
          <w:kern w:val="0"/>
          <w:sz w:val="32"/>
          <w:szCs w:val="32"/>
        </w:rPr>
      </w:pPr>
      <w:r>
        <w:rPr>
          <w:rFonts w:hint="eastAsia" w:ascii="黑体" w:hAnsi="黑体" w:eastAsia="黑体" w:cs="黑体"/>
          <w:bCs/>
          <w:color w:val="000000"/>
          <w:kern w:val="0"/>
          <w:sz w:val="32"/>
          <w:szCs w:val="32"/>
        </w:rPr>
        <w:t>五、</w:t>
      </w:r>
      <w:r>
        <w:rPr>
          <w:rFonts w:hint="eastAsia" w:ascii="黑体" w:hAnsi="黑体" w:eastAsia="黑体" w:cs="黑体"/>
          <w:bCs/>
          <w:color w:val="000000"/>
          <w:kern w:val="0"/>
          <w:sz w:val="32"/>
          <w:szCs w:val="32"/>
          <w:lang w:val="en-US" w:eastAsia="zh-CN"/>
        </w:rPr>
        <w:t>评审</w:t>
      </w:r>
      <w:r>
        <w:rPr>
          <w:rFonts w:hint="eastAsia" w:ascii="黑体" w:hAnsi="黑体" w:eastAsia="黑体" w:cs="黑体"/>
          <w:bCs/>
          <w:color w:val="000000"/>
          <w:kern w:val="0"/>
          <w:sz w:val="32"/>
          <w:szCs w:val="32"/>
        </w:rPr>
        <w:t>数量</w:t>
      </w:r>
    </w:p>
    <w:p w14:paraId="23B3A533">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default"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根据省人社厅、教育厅有关职称评审工作精神以及学校专业技术岗位聘用、师资队伍建设规划和自然减员情况，今年我校拟评审晋升职称总人数为21人，各等级指标数如下：正高级5人（绿色通道1人，援疆教师直推1人），副高级  8人（非教学系列3人），中级8人。其中，思想政治理论专业与学生思想政治教育专业正高级指标1人。</w:t>
      </w:r>
    </w:p>
    <w:p w14:paraId="4C5172A3">
      <w:pPr>
        <w:keepNext w:val="0"/>
        <w:keepLines w:val="0"/>
        <w:pageBreakBefore w:val="0"/>
        <w:widowControl/>
        <w:kinsoku/>
        <w:wordWrap/>
        <w:overflowPunct/>
        <w:topLinePunct w:val="0"/>
        <w:autoSpaceDN/>
        <w:bidi w:val="0"/>
        <w:spacing w:line="600" w:lineRule="exact"/>
        <w:ind w:firstLine="570"/>
        <w:jc w:val="left"/>
        <w:textAlignment w:val="auto"/>
        <w:rPr>
          <w:rFonts w:ascii="仿宋_GB2312" w:hAnsi="仿宋_GB2312" w:eastAsia="仿宋_GB2312" w:cs="仿宋_GB2312"/>
          <w:b/>
          <w:color w:val="000000"/>
          <w:kern w:val="0"/>
          <w:sz w:val="32"/>
          <w:szCs w:val="32"/>
        </w:rPr>
      </w:pPr>
      <w:r>
        <w:rPr>
          <w:rFonts w:hint="eastAsia" w:ascii="黑体" w:hAnsi="黑体" w:eastAsia="黑体" w:cs="黑体"/>
          <w:bCs/>
          <w:color w:val="000000"/>
          <w:kern w:val="0"/>
          <w:sz w:val="32"/>
          <w:szCs w:val="32"/>
        </w:rPr>
        <w:t>六、评审程序</w:t>
      </w:r>
    </w:p>
    <w:p w14:paraId="437AEC4D">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按照省职改办时间安排，9月7日前完成资格审查和推荐工作，具体时间以《职称评审工作日程安排》为准。</w:t>
      </w:r>
    </w:p>
    <w:p w14:paraId="12F9188F">
      <w:pPr>
        <w:keepNext w:val="0"/>
        <w:keepLines w:val="0"/>
        <w:pageBreakBefore w:val="0"/>
        <w:widowControl/>
        <w:kinsoku/>
        <w:wordWrap/>
        <w:overflowPunct/>
        <w:topLinePunct w:val="0"/>
        <w:autoSpaceDN/>
        <w:bidi w:val="0"/>
        <w:spacing w:line="600" w:lineRule="exact"/>
        <w:ind w:firstLine="570"/>
        <w:textAlignment w:val="auto"/>
        <w:rPr>
          <w:rFonts w:ascii="仿宋_GB2312" w:hAnsi="仿宋_GB2312" w:eastAsia="仿宋_GB2312" w:cs="仿宋_GB2312"/>
          <w:b w:val="0"/>
          <w:bCs/>
          <w:color w:val="000000"/>
          <w:kern w:val="0"/>
          <w:sz w:val="32"/>
          <w:szCs w:val="32"/>
        </w:rPr>
      </w:pPr>
      <w:r>
        <w:rPr>
          <w:rFonts w:hint="eastAsia" w:ascii="楷体_GB2312" w:hAnsi="楷体_GB2312" w:eastAsia="楷体_GB2312" w:cs="楷体_GB2312"/>
          <w:b w:val="0"/>
          <w:bCs/>
          <w:color w:val="000000"/>
          <w:kern w:val="0"/>
          <w:sz w:val="32"/>
          <w:szCs w:val="32"/>
          <w:lang w:eastAsia="zh-CN"/>
        </w:rPr>
        <w:t>（</w:t>
      </w:r>
      <w:r>
        <w:rPr>
          <w:rFonts w:hint="eastAsia" w:ascii="楷体_GB2312" w:hAnsi="楷体_GB2312" w:eastAsia="楷体_GB2312" w:cs="楷体_GB2312"/>
          <w:b w:val="0"/>
          <w:bCs/>
          <w:color w:val="000000"/>
          <w:kern w:val="0"/>
          <w:sz w:val="32"/>
          <w:szCs w:val="32"/>
        </w:rPr>
        <w:t>一</w:t>
      </w:r>
      <w:r>
        <w:rPr>
          <w:rFonts w:hint="eastAsia" w:ascii="楷体_GB2312" w:hAnsi="楷体_GB2312" w:eastAsia="楷体_GB2312" w:cs="楷体_GB2312"/>
          <w:b w:val="0"/>
          <w:bCs/>
          <w:color w:val="000000"/>
          <w:kern w:val="0"/>
          <w:sz w:val="32"/>
          <w:szCs w:val="32"/>
          <w:lang w:eastAsia="zh-CN"/>
        </w:rPr>
        <w:t>）</w:t>
      </w:r>
      <w:r>
        <w:rPr>
          <w:rFonts w:hint="eastAsia" w:ascii="楷体_GB2312" w:hAnsi="楷体_GB2312" w:eastAsia="楷体_GB2312" w:cs="楷体_GB2312"/>
          <w:b w:val="0"/>
          <w:bCs/>
          <w:color w:val="000000"/>
          <w:kern w:val="0"/>
          <w:sz w:val="32"/>
          <w:szCs w:val="32"/>
        </w:rPr>
        <w:t xml:space="preserve"> 评审准备及摸底</w:t>
      </w:r>
    </w:p>
    <w:p w14:paraId="06393A65">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学校召开职称评审工作领导小组会议，研究我校职称评审工作方案，布置全校职称评审工作。各相关二级单位根据学校工作方案，按要求成立由党政领导及副高职以上专家等7—9人组成的职称推荐考核小组。</w:t>
      </w:r>
    </w:p>
    <w:p w14:paraId="550F554B">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楷体_GB2312" w:hAnsi="楷体_GB2312" w:eastAsia="楷体_GB2312" w:cs="楷体_GB2312"/>
          <w:b w:val="0"/>
          <w:bCs/>
          <w:color w:val="000000"/>
          <w:kern w:val="0"/>
          <w:sz w:val="32"/>
          <w:szCs w:val="32"/>
          <w:lang w:val="en-US" w:eastAsia="zh-CN"/>
        </w:rPr>
      </w:pPr>
      <w:r>
        <w:rPr>
          <w:rFonts w:hint="eastAsia" w:ascii="楷体_GB2312" w:hAnsi="楷体_GB2312" w:eastAsia="楷体_GB2312" w:cs="楷体_GB2312"/>
          <w:b w:val="0"/>
          <w:bCs/>
          <w:color w:val="000000"/>
          <w:kern w:val="0"/>
          <w:sz w:val="32"/>
          <w:szCs w:val="32"/>
          <w:lang w:eastAsia="zh-CN"/>
        </w:rPr>
        <w:t>（</w:t>
      </w:r>
      <w:r>
        <w:rPr>
          <w:rFonts w:hint="eastAsia" w:ascii="楷体_GB2312" w:hAnsi="楷体_GB2312" w:eastAsia="楷体_GB2312" w:cs="楷体_GB2312"/>
          <w:b w:val="0"/>
          <w:bCs/>
          <w:color w:val="000000"/>
          <w:kern w:val="0"/>
          <w:sz w:val="32"/>
          <w:szCs w:val="32"/>
          <w:lang w:val="en-US" w:eastAsia="zh-CN"/>
        </w:rPr>
        <w:t>二）</w:t>
      </w:r>
      <w:r>
        <w:rPr>
          <w:rFonts w:hint="eastAsia" w:ascii="楷体_GB2312" w:hAnsi="楷体_GB2312" w:eastAsia="楷体_GB2312" w:cs="楷体_GB2312"/>
          <w:b w:val="0"/>
          <w:bCs/>
          <w:color w:val="000000"/>
          <w:kern w:val="0"/>
          <w:sz w:val="32"/>
          <w:szCs w:val="32"/>
        </w:rPr>
        <w:t>课堂教学</w:t>
      </w:r>
      <w:r>
        <w:rPr>
          <w:rFonts w:hint="eastAsia" w:ascii="楷体_GB2312" w:hAnsi="楷体_GB2312" w:eastAsia="楷体_GB2312" w:cs="楷体_GB2312"/>
          <w:b w:val="0"/>
          <w:bCs/>
          <w:color w:val="000000"/>
          <w:kern w:val="0"/>
          <w:sz w:val="32"/>
          <w:szCs w:val="32"/>
          <w:lang w:val="en-US" w:eastAsia="zh-CN"/>
        </w:rPr>
        <w:t>水平考核</w:t>
      </w:r>
    </w:p>
    <w:p w14:paraId="0BEA2165">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申报评审教师系列职称的人员须按照要求进行课堂教学水平考核，通过考核方可参评。</w:t>
      </w:r>
    </w:p>
    <w:p w14:paraId="1BA1C7F5">
      <w:pPr>
        <w:keepNext w:val="0"/>
        <w:keepLines w:val="0"/>
        <w:pageBreakBefore w:val="0"/>
        <w:widowControl/>
        <w:kinsoku/>
        <w:wordWrap/>
        <w:overflowPunct/>
        <w:topLinePunct w:val="0"/>
        <w:autoSpaceDN/>
        <w:bidi w:val="0"/>
        <w:spacing w:line="600" w:lineRule="exact"/>
        <w:ind w:firstLine="570"/>
        <w:textAlignment w:val="auto"/>
        <w:rPr>
          <w:rFonts w:ascii="楷体_GB2312" w:hAnsi="楷体_GB2312" w:eastAsia="楷体_GB2312" w:cs="楷体_GB2312"/>
          <w:b w:val="0"/>
          <w:bCs/>
          <w:color w:val="000000"/>
          <w:kern w:val="0"/>
          <w:sz w:val="32"/>
          <w:szCs w:val="32"/>
        </w:rPr>
      </w:pPr>
      <w:r>
        <w:rPr>
          <w:rFonts w:hint="eastAsia" w:ascii="楷体_GB2312" w:hAnsi="楷体_GB2312" w:eastAsia="楷体_GB2312" w:cs="楷体_GB2312"/>
          <w:b w:val="0"/>
          <w:bCs/>
          <w:color w:val="000000"/>
          <w:kern w:val="0"/>
          <w:sz w:val="32"/>
          <w:szCs w:val="32"/>
          <w:lang w:eastAsia="zh-CN"/>
        </w:rPr>
        <w:t>（</w:t>
      </w:r>
      <w:r>
        <w:rPr>
          <w:rFonts w:hint="eastAsia" w:ascii="楷体_GB2312" w:hAnsi="楷体_GB2312" w:eastAsia="楷体_GB2312" w:cs="楷体_GB2312"/>
          <w:b w:val="0"/>
          <w:bCs/>
          <w:color w:val="000000"/>
          <w:kern w:val="0"/>
          <w:sz w:val="32"/>
          <w:szCs w:val="32"/>
        </w:rPr>
        <w:t>三</w:t>
      </w:r>
      <w:r>
        <w:rPr>
          <w:rFonts w:hint="eastAsia" w:ascii="楷体_GB2312" w:hAnsi="楷体_GB2312" w:eastAsia="楷体_GB2312" w:cs="楷体_GB2312"/>
          <w:b w:val="0"/>
          <w:bCs/>
          <w:color w:val="000000"/>
          <w:kern w:val="0"/>
          <w:sz w:val="32"/>
          <w:szCs w:val="32"/>
          <w:lang w:eastAsia="zh-CN"/>
        </w:rPr>
        <w:t>）</w:t>
      </w:r>
      <w:r>
        <w:rPr>
          <w:rFonts w:hint="eastAsia" w:ascii="楷体_GB2312" w:hAnsi="楷体_GB2312" w:eastAsia="楷体_GB2312" w:cs="楷体_GB2312"/>
          <w:b w:val="0"/>
          <w:bCs/>
          <w:color w:val="000000"/>
          <w:kern w:val="0"/>
          <w:sz w:val="32"/>
          <w:szCs w:val="32"/>
        </w:rPr>
        <w:t xml:space="preserve"> 调整职称评审专家库</w:t>
      </w:r>
    </w:p>
    <w:p w14:paraId="2BB25D9A">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根据《河北省专业技术职务任职资格评审委员会管理办法》要求，调整完善我校职称评审专家库和组建职称评审委员会，报省职改办备案。</w:t>
      </w:r>
    </w:p>
    <w:p w14:paraId="0509D338">
      <w:pPr>
        <w:keepNext w:val="0"/>
        <w:keepLines w:val="0"/>
        <w:pageBreakBefore w:val="0"/>
        <w:widowControl/>
        <w:kinsoku/>
        <w:wordWrap/>
        <w:overflowPunct/>
        <w:topLinePunct w:val="0"/>
        <w:autoSpaceDN/>
        <w:bidi w:val="0"/>
        <w:spacing w:line="600" w:lineRule="exact"/>
        <w:ind w:firstLine="570"/>
        <w:textAlignment w:val="auto"/>
        <w:rPr>
          <w:rFonts w:ascii="楷体_GB2312" w:hAnsi="楷体_GB2312" w:eastAsia="楷体_GB2312" w:cs="楷体_GB2312"/>
          <w:b w:val="0"/>
          <w:bCs/>
          <w:color w:val="000000"/>
          <w:kern w:val="0"/>
          <w:sz w:val="32"/>
          <w:szCs w:val="32"/>
        </w:rPr>
      </w:pPr>
      <w:r>
        <w:rPr>
          <w:rFonts w:hint="eastAsia" w:ascii="楷体_GB2312" w:hAnsi="楷体_GB2312" w:eastAsia="楷体_GB2312" w:cs="楷体_GB2312"/>
          <w:b w:val="0"/>
          <w:bCs/>
          <w:color w:val="000000"/>
          <w:kern w:val="0"/>
          <w:sz w:val="32"/>
          <w:szCs w:val="32"/>
        </w:rPr>
        <w:t>（四）基</w:t>
      </w:r>
      <w:r>
        <w:rPr>
          <w:rFonts w:hint="eastAsia" w:ascii="楷体_GB2312" w:hAnsi="楷体_GB2312" w:eastAsia="楷体_GB2312" w:cs="楷体_GB2312"/>
          <w:b w:val="0"/>
          <w:bCs/>
          <w:color w:val="auto"/>
          <w:kern w:val="0"/>
          <w:sz w:val="32"/>
          <w:szCs w:val="32"/>
        </w:rPr>
        <w:t>层</w:t>
      </w:r>
      <w:r>
        <w:rPr>
          <w:rFonts w:hint="eastAsia" w:ascii="楷体_GB2312" w:hAnsi="楷体_GB2312" w:eastAsia="楷体_GB2312" w:cs="楷体_GB2312"/>
          <w:b w:val="0"/>
          <w:bCs/>
          <w:color w:val="auto"/>
          <w:kern w:val="0"/>
          <w:sz w:val="32"/>
          <w:szCs w:val="32"/>
          <w:lang w:val="en-US" w:eastAsia="zh-CN"/>
        </w:rPr>
        <w:t>单位</w:t>
      </w:r>
      <w:r>
        <w:rPr>
          <w:rFonts w:hint="eastAsia" w:ascii="楷体_GB2312" w:hAnsi="楷体_GB2312" w:eastAsia="楷体_GB2312" w:cs="楷体_GB2312"/>
          <w:b w:val="0"/>
          <w:bCs/>
          <w:color w:val="auto"/>
          <w:kern w:val="0"/>
          <w:sz w:val="32"/>
          <w:szCs w:val="32"/>
        </w:rPr>
        <w:t>初</w:t>
      </w:r>
      <w:r>
        <w:rPr>
          <w:rFonts w:hint="eastAsia" w:ascii="楷体_GB2312" w:hAnsi="楷体_GB2312" w:eastAsia="楷体_GB2312" w:cs="楷体_GB2312"/>
          <w:b w:val="0"/>
          <w:bCs/>
          <w:color w:val="000000"/>
          <w:kern w:val="0"/>
          <w:sz w:val="32"/>
          <w:szCs w:val="32"/>
        </w:rPr>
        <w:t>评</w:t>
      </w:r>
    </w:p>
    <w:p w14:paraId="7EE48F32">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1.严格职称申报诚信制度。认真落实个人和单位共同承诺制度，申报人要对申报材料的真实性负责，申报材料要经二级单位负责人签字并盖单位公章，申报人和各二级单位对申报人材料的真实性负责。</w:t>
      </w:r>
    </w:p>
    <w:p w14:paraId="20D6B532">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2.认真做好资格审核工作。各二级单位职称推荐考核小组要组织熟悉职称工作政策、认真负责的工作人员对申报评审材料进行审核，严格审核学历学位、职业资格、任职资格等证书，论文、课题等原件，发现有疑问的须认真进行查询验证。要利用网络信息手段加强对各种证件、材料真实性的核对。对申报材料坚持“谁审核、谁签名、谁负责”。所有申报评审材料必须按要求签字、盖章，并在《申报评审××系列××专业技术职务任职资格情况一览表》中相应栏内签署推荐意见，审核人、负责人签名并加盖公章。对弄虚作假、徇私舞弊者按照有关规定严肃处理。</w:t>
      </w:r>
    </w:p>
    <w:p w14:paraId="7AC66152">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3.基层单位推荐。在认真审核的基础上，通过量化测评、民主评议和投票，对申报人员进行评审推荐，推荐结果在本单位公示3天。公示无异议后报人事处。</w:t>
      </w:r>
    </w:p>
    <w:p w14:paraId="284751F2">
      <w:pPr>
        <w:keepNext w:val="0"/>
        <w:keepLines w:val="0"/>
        <w:pageBreakBefore w:val="0"/>
        <w:widowControl/>
        <w:kinsoku/>
        <w:wordWrap/>
        <w:overflowPunct/>
        <w:topLinePunct w:val="0"/>
        <w:autoSpaceDN/>
        <w:bidi w:val="0"/>
        <w:spacing w:line="600" w:lineRule="exact"/>
        <w:ind w:firstLine="570"/>
        <w:textAlignment w:val="auto"/>
        <w:rPr>
          <w:rFonts w:ascii="楷体_GB2312" w:hAnsi="楷体_GB2312" w:eastAsia="楷体_GB2312" w:cs="楷体_GB2312"/>
          <w:b w:val="0"/>
          <w:bCs/>
          <w:color w:val="000000"/>
          <w:spacing w:val="-6"/>
          <w:kern w:val="0"/>
          <w:sz w:val="32"/>
          <w:szCs w:val="32"/>
        </w:rPr>
      </w:pPr>
      <w:r>
        <w:rPr>
          <w:rFonts w:hint="eastAsia" w:ascii="楷体_GB2312" w:hAnsi="楷体_GB2312" w:eastAsia="楷体_GB2312" w:cs="楷体_GB2312"/>
          <w:b w:val="0"/>
          <w:bCs/>
          <w:color w:val="000000"/>
          <w:kern w:val="0"/>
          <w:sz w:val="32"/>
          <w:szCs w:val="32"/>
        </w:rPr>
        <w:t xml:space="preserve"> </w:t>
      </w:r>
      <w:r>
        <w:rPr>
          <w:rFonts w:hint="eastAsia" w:ascii="楷体_GB2312" w:hAnsi="楷体_GB2312" w:eastAsia="楷体_GB2312" w:cs="楷体_GB2312"/>
          <w:b w:val="0"/>
          <w:bCs/>
          <w:color w:val="000000"/>
          <w:kern w:val="0"/>
          <w:sz w:val="32"/>
          <w:szCs w:val="32"/>
          <w:lang w:eastAsia="zh-CN"/>
        </w:rPr>
        <w:t>（</w:t>
      </w:r>
      <w:r>
        <w:rPr>
          <w:rFonts w:hint="eastAsia" w:ascii="楷体_GB2312" w:hAnsi="楷体_GB2312" w:eastAsia="楷体_GB2312" w:cs="楷体_GB2312"/>
          <w:b w:val="0"/>
          <w:bCs/>
          <w:color w:val="000000"/>
          <w:spacing w:val="-6"/>
          <w:kern w:val="0"/>
          <w:sz w:val="32"/>
          <w:szCs w:val="32"/>
        </w:rPr>
        <w:t>五</w:t>
      </w:r>
      <w:r>
        <w:rPr>
          <w:rFonts w:hint="eastAsia" w:ascii="楷体_GB2312" w:hAnsi="楷体_GB2312" w:eastAsia="楷体_GB2312" w:cs="楷体_GB2312"/>
          <w:b w:val="0"/>
          <w:bCs/>
          <w:color w:val="000000"/>
          <w:spacing w:val="-6"/>
          <w:kern w:val="0"/>
          <w:sz w:val="32"/>
          <w:szCs w:val="32"/>
          <w:lang w:eastAsia="zh-CN"/>
        </w:rPr>
        <w:t>）</w:t>
      </w:r>
      <w:r>
        <w:rPr>
          <w:rFonts w:hint="eastAsia" w:ascii="楷体_GB2312" w:hAnsi="楷体_GB2312" w:eastAsia="楷体_GB2312" w:cs="楷体_GB2312"/>
          <w:b w:val="0"/>
          <w:bCs/>
          <w:color w:val="000000"/>
          <w:spacing w:val="-6"/>
          <w:kern w:val="0"/>
          <w:sz w:val="32"/>
          <w:szCs w:val="32"/>
        </w:rPr>
        <w:t xml:space="preserve"> 申报材料展示、评审一览表电子版公示及资格审查</w:t>
      </w:r>
    </w:p>
    <w:p w14:paraId="63866AB6">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评审政策文件、个人职称申报材料及任职资格情况一览表等由人事处组织在校内公开展示，同时将任职资格情况一览表电子版进行网上公示。未经双公示的，一律不得申报参评；未经双公示的材料不得作为申报材料进行量化打分。公示期内如对申报材料有异议，须以书面形式提交人事处，由人事处报校职称评审工作领导小组审核。同时，学校对参评人员的申报资格进行审查，并利用中国知网《学术不端文献检测系统》数据库平台对申报者提交的论文进行查重，不符合重复率要求的，不得用于参评。对通过资格审查的申报人员名单进行公示，公示期内如有异议，须以书面形式提交人事处。</w:t>
      </w:r>
    </w:p>
    <w:p w14:paraId="3A4D7065">
      <w:pPr>
        <w:keepNext w:val="0"/>
        <w:keepLines w:val="0"/>
        <w:pageBreakBefore w:val="0"/>
        <w:widowControl/>
        <w:kinsoku/>
        <w:wordWrap/>
        <w:overflowPunct/>
        <w:topLinePunct w:val="0"/>
        <w:autoSpaceDN/>
        <w:bidi w:val="0"/>
        <w:spacing w:line="600" w:lineRule="exact"/>
        <w:ind w:firstLine="570"/>
        <w:textAlignment w:val="auto"/>
        <w:rPr>
          <w:rFonts w:ascii="楷体_GB2312" w:hAnsi="楷体_GB2312" w:eastAsia="楷体_GB2312" w:cs="楷体_GB2312"/>
          <w:b w:val="0"/>
          <w:bCs/>
          <w:color w:val="000000"/>
          <w:kern w:val="0"/>
          <w:sz w:val="32"/>
          <w:szCs w:val="32"/>
        </w:rPr>
      </w:pPr>
      <w:r>
        <w:rPr>
          <w:rFonts w:hint="eastAsia" w:ascii="楷体_GB2312" w:hAnsi="楷体_GB2312" w:eastAsia="楷体_GB2312" w:cs="楷体_GB2312"/>
          <w:b w:val="0"/>
          <w:bCs/>
          <w:color w:val="000000"/>
          <w:kern w:val="0"/>
          <w:sz w:val="32"/>
          <w:szCs w:val="32"/>
        </w:rPr>
        <w:t>（六）推荐与评审</w:t>
      </w:r>
    </w:p>
    <w:p w14:paraId="35822F78">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学校依据相应专业技术职务量化测评评分标准对所有申报人员的材料进行量化打分，量化打分以本等级本系列最高分为标准采取折百分制的方式进行（参评人员得分/本等级本系列最高分*100%），打分结果保留到小数点后两位。打分结果在学校公示。学校组织所有申报评审高级职称的人员进行答辩，答辩结束后将量化得分和答辩得分按7:3的比例合成总成绩，保留小数点后两位，并在学校公示。经评委投票表决，获三分之二以上票数者可以推荐，推荐结果公示5个工作日，公示期内如对推荐结果有异议，须以书面形式提交人事处，人事处报校职称评审工作领导小组研究。</w:t>
      </w:r>
    </w:p>
    <w:p w14:paraId="29150E81">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推荐工作完成后，人事处分配职称评审系统账号并下发，申报人员登录河北省职称申报系统填写申报信息，按时上传相应材料。教师系列高级职称的评审向省职改办提出开评申请，同时提交评审方案。省职改办开具委托评审函并随机抽取产生评审委员会组成人员。评审按审阅材料、量化计分、组织答辩、民主评议、投票表决的步骤组织实施。获得推荐资格的高级职称的人员进行答辩，答辩结束后将量化得分和答辩得分按7:3的比例合成总成绩，保留小数点后两位，并在学校公示，量化打分仍采用折百分制方式进行。经评委投票表决，获三分之二以上票数者视为评审通过。</w:t>
      </w:r>
    </w:p>
    <w:p w14:paraId="0B1A75E3">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default"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各等级评审淘汰率均控制在10%左右。</w:t>
      </w:r>
    </w:p>
    <w:p w14:paraId="65EB42EB">
      <w:pPr>
        <w:keepNext w:val="0"/>
        <w:keepLines w:val="0"/>
        <w:pageBreakBefore w:val="0"/>
        <w:widowControl/>
        <w:kinsoku/>
        <w:wordWrap/>
        <w:overflowPunct/>
        <w:topLinePunct w:val="0"/>
        <w:autoSpaceDN/>
        <w:bidi w:val="0"/>
        <w:spacing w:line="600" w:lineRule="exact"/>
        <w:ind w:firstLine="570"/>
        <w:textAlignment w:val="auto"/>
        <w:rPr>
          <w:rFonts w:ascii="楷体_GB2312" w:hAnsi="楷体_GB2312" w:eastAsia="楷体_GB2312" w:cs="楷体_GB2312"/>
          <w:b w:val="0"/>
          <w:bCs/>
          <w:color w:val="000000"/>
          <w:kern w:val="0"/>
          <w:sz w:val="32"/>
          <w:szCs w:val="32"/>
        </w:rPr>
      </w:pPr>
      <w:r>
        <w:rPr>
          <w:rFonts w:hint="eastAsia" w:ascii="楷体_GB2312" w:hAnsi="楷体_GB2312" w:eastAsia="楷体_GB2312" w:cs="楷体_GB2312"/>
          <w:b w:val="0"/>
          <w:bCs/>
          <w:color w:val="000000"/>
          <w:kern w:val="0"/>
          <w:sz w:val="32"/>
          <w:szCs w:val="32"/>
          <w:lang w:eastAsia="zh-CN"/>
        </w:rPr>
        <w:t>（</w:t>
      </w:r>
      <w:r>
        <w:rPr>
          <w:rFonts w:hint="eastAsia" w:ascii="楷体_GB2312" w:hAnsi="楷体_GB2312" w:eastAsia="楷体_GB2312" w:cs="楷体_GB2312"/>
          <w:b w:val="0"/>
          <w:bCs/>
          <w:color w:val="000000"/>
          <w:kern w:val="0"/>
          <w:sz w:val="32"/>
          <w:szCs w:val="32"/>
        </w:rPr>
        <w:t>七</w:t>
      </w:r>
      <w:r>
        <w:rPr>
          <w:rFonts w:hint="eastAsia" w:ascii="楷体_GB2312" w:hAnsi="楷体_GB2312" w:eastAsia="楷体_GB2312" w:cs="楷体_GB2312"/>
          <w:b w:val="0"/>
          <w:bCs/>
          <w:color w:val="000000"/>
          <w:kern w:val="0"/>
          <w:sz w:val="32"/>
          <w:szCs w:val="32"/>
          <w:lang w:eastAsia="zh-CN"/>
        </w:rPr>
        <w:t>）</w:t>
      </w:r>
      <w:r>
        <w:rPr>
          <w:rFonts w:hint="eastAsia" w:ascii="楷体_GB2312" w:hAnsi="楷体_GB2312" w:eastAsia="楷体_GB2312" w:cs="楷体_GB2312"/>
          <w:b w:val="0"/>
          <w:bCs/>
          <w:color w:val="000000"/>
          <w:kern w:val="0"/>
          <w:sz w:val="32"/>
          <w:szCs w:val="32"/>
        </w:rPr>
        <w:t xml:space="preserve"> 评审结果公示及材料整理上报 </w:t>
      </w:r>
    </w:p>
    <w:p w14:paraId="52B3EE41">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评审结果经学校职称评审工作领导小组审核同意后，在学校公告栏及网站公示，公示期为5个工作日。公示期内如有异议，须以书面形式提交人事处，人事处报校职称评审工作领导小组研究。公示无异议后人事处组织个人评审材料的整理与上报，向省级职称管理部门备案。</w:t>
      </w:r>
    </w:p>
    <w:p w14:paraId="019B7736">
      <w:pPr>
        <w:keepNext w:val="0"/>
        <w:keepLines w:val="0"/>
        <w:pageBreakBefore w:val="0"/>
        <w:kinsoku/>
        <w:wordWrap/>
        <w:overflowPunct/>
        <w:topLinePunct w:val="0"/>
        <w:autoSpaceDN/>
        <w:bidi w:val="0"/>
        <w:spacing w:line="600" w:lineRule="exact"/>
        <w:ind w:firstLine="640" w:firstLineChars="200"/>
        <w:textAlignment w:val="auto"/>
        <w:rPr>
          <w:rFonts w:ascii="仿宋_GB2312" w:hAnsi="仿宋_GB2312" w:eastAsia="仿宋_GB2312" w:cs="仿宋_GB2312"/>
          <w:b/>
          <w:color w:val="000000"/>
          <w:kern w:val="0"/>
          <w:sz w:val="32"/>
          <w:szCs w:val="32"/>
        </w:rPr>
      </w:pPr>
      <w:r>
        <w:rPr>
          <w:rFonts w:hint="eastAsia" w:ascii="黑体" w:hAnsi="黑体" w:eastAsia="黑体" w:cs="黑体"/>
          <w:bCs/>
          <w:color w:val="000000"/>
          <w:kern w:val="0"/>
          <w:sz w:val="32"/>
          <w:szCs w:val="32"/>
        </w:rPr>
        <w:t>七、评审要求</w:t>
      </w:r>
    </w:p>
    <w:p w14:paraId="0D690F66">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为体现公平竞争和保证评审工作的顺利进行，各单位要认真做好资格审核和初步推荐工作；评委要认真研究政策，领会文件精神，坚持标准，客观公正，不打人情分，不投人情票，不私下搞小动作。申报人员要如实、认真上报材料，不弄虚作假或剽窃他人成果，未按期提交材料的视为自动放弃；申报人不得找领导或评委说明情况，干扰评审工作；对违反政策、弄虚作假取得专业技术职务任职资格的，一经查实，取消其相应资格或所聘职务，并追究相关人员的责任，三年内不得再次申报专业技术职称任职资格，并按照《事业单位人事管理条例》严肃处理。</w:t>
      </w:r>
    </w:p>
    <w:p w14:paraId="5CB7B0E1">
      <w:pPr>
        <w:keepNext w:val="0"/>
        <w:keepLines w:val="0"/>
        <w:pageBreakBefore w:val="0"/>
        <w:widowControl/>
        <w:kinsoku/>
        <w:wordWrap/>
        <w:overflowPunct/>
        <w:topLinePunct w:val="0"/>
        <w:autoSpaceDN/>
        <w:bidi w:val="0"/>
        <w:spacing w:line="600" w:lineRule="exact"/>
        <w:ind w:firstLine="570"/>
        <w:jc w:val="left"/>
        <w:textAlignment w:val="auto"/>
        <w:rPr>
          <w:rFonts w:ascii="仿宋_GB2312" w:hAnsi="仿宋_GB2312" w:eastAsia="仿宋_GB2312" w:cs="仿宋_GB2312"/>
          <w:b/>
          <w:color w:val="000000"/>
          <w:kern w:val="0"/>
          <w:sz w:val="32"/>
          <w:szCs w:val="32"/>
        </w:rPr>
      </w:pPr>
      <w:r>
        <w:rPr>
          <w:rFonts w:hint="eastAsia" w:ascii="黑体" w:hAnsi="黑体" w:eastAsia="黑体" w:cs="黑体"/>
          <w:bCs/>
          <w:color w:val="000000"/>
          <w:kern w:val="0"/>
          <w:sz w:val="32"/>
          <w:szCs w:val="32"/>
        </w:rPr>
        <w:t>八、加强监督检查</w:t>
      </w:r>
    </w:p>
    <w:p w14:paraId="682BA84F">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为加强对评审工作的过程监督和检查，充分发挥师生的监督作用，确保评审工作顺利进行。职称评审期间，开通举报电话和邮箱，接受广大教职工监督。</w:t>
      </w:r>
    </w:p>
    <w:p w14:paraId="11245995">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default"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监督电话：4187655（人事处）</w:t>
      </w:r>
    </w:p>
    <w:p w14:paraId="600B5D9A">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4187629（纪检监察室）</w:t>
      </w:r>
    </w:p>
    <w:p w14:paraId="5EDF0AAF">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电子邮箱：</w:t>
      </w:r>
      <w:r>
        <w:rPr>
          <w:rFonts w:hint="eastAsia" w:ascii="仿宋" w:hAnsi="仿宋" w:eastAsia="仿宋" w:cs="仿宋"/>
          <w:b w:val="0"/>
          <w:bCs/>
          <w:sz w:val="32"/>
          <w:szCs w:val="32"/>
          <w:lang w:val="en-US" w:eastAsia="zh-CN"/>
        </w:rPr>
        <w:fldChar w:fldCharType="begin"/>
      </w:r>
      <w:r>
        <w:rPr>
          <w:rFonts w:hint="eastAsia" w:ascii="仿宋" w:hAnsi="仿宋" w:eastAsia="仿宋" w:cs="仿宋"/>
          <w:b w:val="0"/>
          <w:bCs/>
          <w:sz w:val="32"/>
          <w:szCs w:val="32"/>
          <w:lang w:val="en-US" w:eastAsia="zh-CN"/>
        </w:rPr>
        <w:instrText xml:space="preserve"> HYPERLINK "mailto:rsk4187655@163.com" </w:instrText>
      </w:r>
      <w:r>
        <w:rPr>
          <w:rFonts w:hint="eastAsia" w:ascii="仿宋" w:hAnsi="仿宋" w:eastAsia="仿宋" w:cs="仿宋"/>
          <w:b w:val="0"/>
          <w:bCs/>
          <w:sz w:val="32"/>
          <w:szCs w:val="32"/>
          <w:lang w:val="en-US" w:eastAsia="zh-CN"/>
        </w:rPr>
        <w:fldChar w:fldCharType="separate"/>
      </w:r>
      <w:r>
        <w:rPr>
          <w:rFonts w:hint="eastAsia" w:ascii="仿宋" w:hAnsi="仿宋" w:eastAsia="仿宋" w:cs="仿宋"/>
          <w:b w:val="0"/>
          <w:bCs/>
          <w:sz w:val="32"/>
          <w:szCs w:val="32"/>
          <w:lang w:val="en-US" w:eastAsia="zh-CN"/>
        </w:rPr>
        <w:t>rsk4187655@163.com</w:t>
      </w:r>
      <w:r>
        <w:rPr>
          <w:rFonts w:hint="eastAsia" w:ascii="仿宋" w:hAnsi="仿宋" w:eastAsia="仿宋" w:cs="仿宋"/>
          <w:b w:val="0"/>
          <w:bCs/>
          <w:sz w:val="32"/>
          <w:szCs w:val="32"/>
          <w:lang w:val="en-US" w:eastAsia="zh-CN"/>
        </w:rPr>
        <w:fldChar w:fldCharType="end"/>
      </w:r>
    </w:p>
    <w:p w14:paraId="2BA8C418">
      <w:pPr>
        <w:keepNext w:val="0"/>
        <w:keepLines w:val="0"/>
        <w:pageBreakBefore w:val="0"/>
        <w:widowControl/>
        <w:kinsoku/>
        <w:wordWrap/>
        <w:overflowPunct/>
        <w:topLinePunct w:val="0"/>
        <w:autoSpaceDN/>
        <w:bidi w:val="0"/>
        <w:spacing w:line="600" w:lineRule="exact"/>
        <w:ind w:firstLine="570"/>
        <w:jc w:val="left"/>
        <w:textAlignment w:val="auto"/>
        <w:rPr>
          <w:rFonts w:ascii="黑体" w:hAnsi="黑体" w:eastAsia="黑体" w:cs="黑体"/>
          <w:bCs/>
          <w:color w:val="000000"/>
          <w:kern w:val="0"/>
          <w:sz w:val="32"/>
          <w:szCs w:val="32"/>
        </w:rPr>
      </w:pPr>
      <w:r>
        <w:rPr>
          <w:rFonts w:hint="eastAsia" w:ascii="黑体" w:hAnsi="黑体" w:eastAsia="黑体" w:cs="黑体"/>
          <w:bCs/>
          <w:color w:val="000000"/>
          <w:kern w:val="0"/>
          <w:sz w:val="32"/>
          <w:szCs w:val="32"/>
        </w:rPr>
        <w:t>九、有关政策规定和要求</w:t>
      </w:r>
    </w:p>
    <w:p w14:paraId="196084EE">
      <w:pPr>
        <w:keepNext w:val="0"/>
        <w:keepLines w:val="0"/>
        <w:pageBreakBefore w:val="0"/>
        <w:kinsoku/>
        <w:wordWrap/>
        <w:overflowPunct/>
        <w:topLinePunct w:val="0"/>
        <w:autoSpaceDN/>
        <w:bidi w:val="0"/>
        <w:spacing w:line="600" w:lineRule="exact"/>
        <w:ind w:firstLine="640" w:firstLineChars="200"/>
        <w:textAlignment w:val="auto"/>
        <w:rPr>
          <w:rFonts w:ascii="楷体" w:hAnsi="楷体" w:eastAsia="楷体" w:cs="楷体"/>
          <w:b w:val="0"/>
          <w:bCs w:val="0"/>
          <w:color w:val="000000"/>
          <w:kern w:val="0"/>
          <w:sz w:val="32"/>
          <w:szCs w:val="32"/>
        </w:rPr>
      </w:pPr>
      <w:r>
        <w:rPr>
          <w:rFonts w:hint="eastAsia" w:ascii="楷体" w:hAnsi="楷体" w:eastAsia="楷体" w:cs="楷体"/>
          <w:b w:val="0"/>
          <w:bCs w:val="0"/>
          <w:color w:val="000000"/>
          <w:kern w:val="0"/>
          <w:sz w:val="32"/>
          <w:szCs w:val="32"/>
          <w:lang w:eastAsia="zh-CN"/>
        </w:rPr>
        <w:t>（</w:t>
      </w:r>
      <w:r>
        <w:rPr>
          <w:rFonts w:hint="eastAsia" w:ascii="楷体" w:hAnsi="楷体" w:eastAsia="楷体" w:cs="楷体"/>
          <w:b w:val="0"/>
          <w:bCs w:val="0"/>
          <w:color w:val="000000"/>
          <w:kern w:val="0"/>
          <w:sz w:val="32"/>
          <w:szCs w:val="32"/>
        </w:rPr>
        <w:t>一</w:t>
      </w:r>
      <w:r>
        <w:rPr>
          <w:rFonts w:hint="eastAsia" w:ascii="楷体" w:hAnsi="楷体" w:eastAsia="楷体" w:cs="楷体"/>
          <w:b w:val="0"/>
          <w:bCs w:val="0"/>
          <w:color w:val="000000"/>
          <w:kern w:val="0"/>
          <w:sz w:val="32"/>
          <w:szCs w:val="32"/>
          <w:lang w:eastAsia="zh-CN"/>
        </w:rPr>
        <w:t>）</w:t>
      </w:r>
      <w:r>
        <w:rPr>
          <w:rFonts w:hint="eastAsia" w:ascii="楷体" w:hAnsi="楷体" w:eastAsia="楷体" w:cs="楷体"/>
          <w:b w:val="0"/>
          <w:bCs w:val="0"/>
          <w:color w:val="000000"/>
          <w:kern w:val="0"/>
          <w:sz w:val="32"/>
          <w:szCs w:val="32"/>
        </w:rPr>
        <w:t>关于申报评审的任职资历、退休年龄问题</w:t>
      </w:r>
    </w:p>
    <w:p w14:paraId="24BC8833">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申报评审职称人员的学历、学位、资格、工作年限等截止时间为2024年12月31日。业绩（含论文、论著）成果的截止时间为2024年9月3日。退休年龄截止时间为2024年6月30日。</w:t>
      </w:r>
    </w:p>
    <w:p w14:paraId="654A4262">
      <w:pPr>
        <w:keepNext w:val="0"/>
        <w:keepLines w:val="0"/>
        <w:pageBreakBefore w:val="0"/>
        <w:kinsoku/>
        <w:wordWrap/>
        <w:overflowPunct/>
        <w:topLinePunct w:val="0"/>
        <w:autoSpaceDN/>
        <w:bidi w:val="0"/>
        <w:spacing w:line="600" w:lineRule="exact"/>
        <w:ind w:firstLine="640" w:firstLineChars="200"/>
        <w:textAlignment w:val="auto"/>
        <w:rPr>
          <w:rFonts w:ascii="楷体" w:hAnsi="楷体" w:eastAsia="楷体" w:cs="楷体"/>
          <w:b w:val="0"/>
          <w:bCs w:val="0"/>
          <w:color w:val="000000"/>
          <w:kern w:val="0"/>
          <w:sz w:val="32"/>
          <w:szCs w:val="32"/>
        </w:rPr>
      </w:pPr>
      <w:r>
        <w:rPr>
          <w:rFonts w:hint="eastAsia" w:ascii="楷体" w:hAnsi="楷体" w:eastAsia="楷体" w:cs="楷体"/>
          <w:b w:val="0"/>
          <w:bCs w:val="0"/>
          <w:color w:val="000000"/>
          <w:kern w:val="0"/>
          <w:sz w:val="32"/>
          <w:szCs w:val="32"/>
          <w:lang w:eastAsia="zh-CN"/>
        </w:rPr>
        <w:t>（</w:t>
      </w:r>
      <w:r>
        <w:rPr>
          <w:rFonts w:hint="eastAsia" w:ascii="楷体" w:hAnsi="楷体" w:eastAsia="楷体" w:cs="楷体"/>
          <w:b w:val="0"/>
          <w:bCs w:val="0"/>
          <w:color w:val="000000"/>
          <w:kern w:val="0"/>
          <w:sz w:val="32"/>
          <w:szCs w:val="32"/>
        </w:rPr>
        <w:t>二</w:t>
      </w:r>
      <w:r>
        <w:rPr>
          <w:rFonts w:hint="eastAsia" w:ascii="楷体" w:hAnsi="楷体" w:eastAsia="楷体" w:cs="楷体"/>
          <w:b w:val="0"/>
          <w:bCs w:val="0"/>
          <w:color w:val="000000"/>
          <w:kern w:val="0"/>
          <w:sz w:val="32"/>
          <w:szCs w:val="32"/>
          <w:lang w:eastAsia="zh-CN"/>
        </w:rPr>
        <w:t>）</w:t>
      </w:r>
      <w:r>
        <w:rPr>
          <w:rFonts w:hint="eastAsia" w:ascii="楷体" w:hAnsi="楷体" w:eastAsia="楷体" w:cs="楷体"/>
          <w:b w:val="0"/>
          <w:bCs w:val="0"/>
          <w:color w:val="000000"/>
          <w:kern w:val="0"/>
          <w:sz w:val="32"/>
          <w:szCs w:val="32"/>
        </w:rPr>
        <w:t>关于申报教授和副教授任职资格的学位要求</w:t>
      </w:r>
    </w:p>
    <w:p w14:paraId="1D2C082B">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截止到2024年12月31日不满50周岁的申报教授、不满45周岁的申报副教授须具备硕士以上学位，不具备硕士以上学位的，原则上不再特殊申报。河北省强势学科专业点人员申报教授职务任职资格一般应具有博士学位。</w:t>
      </w:r>
    </w:p>
    <w:p w14:paraId="762B18E6">
      <w:pPr>
        <w:keepNext w:val="0"/>
        <w:keepLines w:val="0"/>
        <w:pageBreakBefore w:val="0"/>
        <w:kinsoku/>
        <w:wordWrap/>
        <w:overflowPunct/>
        <w:topLinePunct w:val="0"/>
        <w:autoSpaceDN/>
        <w:bidi w:val="0"/>
        <w:spacing w:line="600" w:lineRule="exact"/>
        <w:ind w:firstLine="640" w:firstLineChars="200"/>
        <w:textAlignment w:val="auto"/>
        <w:rPr>
          <w:rFonts w:ascii="楷体" w:hAnsi="楷体" w:eastAsia="楷体" w:cs="楷体"/>
          <w:b w:val="0"/>
          <w:bCs w:val="0"/>
          <w:color w:val="000000"/>
          <w:kern w:val="0"/>
          <w:sz w:val="32"/>
          <w:szCs w:val="32"/>
        </w:rPr>
      </w:pPr>
      <w:r>
        <w:rPr>
          <w:rFonts w:hint="eastAsia" w:ascii="楷体" w:hAnsi="楷体" w:eastAsia="楷体" w:cs="楷体"/>
          <w:b w:val="0"/>
          <w:bCs w:val="0"/>
          <w:color w:val="000000"/>
          <w:kern w:val="0"/>
          <w:sz w:val="32"/>
          <w:szCs w:val="32"/>
        </w:rPr>
        <w:t>（三）年度考核、师德考核和辅导员考核要求</w:t>
      </w:r>
    </w:p>
    <w:p w14:paraId="33C90CD2">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参评高一级职称的，要求任职以来各类考核累计五年考核等次为合格（称职）以上，取得博士学位参评副高级职称的和取得硕士学位参评中级的按照近2年考核结果掌握；取得学士学位参评中级的，按照取得助理资格后近4年考核结果掌握。</w:t>
      </w:r>
    </w:p>
    <w:p w14:paraId="54AABE6D">
      <w:pPr>
        <w:keepNext w:val="0"/>
        <w:keepLines w:val="0"/>
        <w:pageBreakBefore w:val="0"/>
        <w:kinsoku/>
        <w:wordWrap/>
        <w:overflowPunct/>
        <w:topLinePunct w:val="0"/>
        <w:autoSpaceDN/>
        <w:bidi w:val="0"/>
        <w:spacing w:line="600" w:lineRule="exact"/>
        <w:ind w:firstLine="640" w:firstLineChars="200"/>
        <w:textAlignment w:val="auto"/>
        <w:rPr>
          <w:rFonts w:ascii="楷体" w:hAnsi="楷体" w:eastAsia="楷体" w:cs="楷体"/>
          <w:b w:val="0"/>
          <w:bCs w:val="0"/>
          <w:color w:val="000000"/>
          <w:kern w:val="0"/>
          <w:sz w:val="32"/>
          <w:szCs w:val="32"/>
        </w:rPr>
      </w:pPr>
      <w:r>
        <w:rPr>
          <w:rFonts w:hint="eastAsia" w:ascii="楷体" w:hAnsi="楷体" w:eastAsia="楷体" w:cs="楷体"/>
          <w:b w:val="0"/>
          <w:bCs w:val="0"/>
          <w:color w:val="000000"/>
          <w:kern w:val="0"/>
          <w:sz w:val="32"/>
          <w:szCs w:val="32"/>
        </w:rPr>
        <w:t>（四）工作经历要求</w:t>
      </w:r>
    </w:p>
    <w:p w14:paraId="6BD31853">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根据省职改办各等级申报条件要求，参评教授、副教授、讲师等职称人员，40岁以下教师任现职以来须至少一年担任辅导员、班主任等学生工作经历或支教、扶贫、参加乡村振兴、孔子学院及国际组织援外交流等工作经历并考核合格，需提供学院（系）和学校相关部门共同出具的工作经历证明。</w:t>
      </w:r>
    </w:p>
    <w:p w14:paraId="130EEB77">
      <w:pPr>
        <w:keepNext w:val="0"/>
        <w:keepLines w:val="0"/>
        <w:pageBreakBefore w:val="0"/>
        <w:widowControl/>
        <w:numPr>
          <w:ilvl w:val="0"/>
          <w:numId w:val="0"/>
        </w:numPr>
        <w:suppressLineNumbers w:val="0"/>
        <w:kinsoku/>
        <w:wordWrap/>
        <w:overflowPunct/>
        <w:topLinePunct w:val="0"/>
        <w:autoSpaceDE/>
        <w:autoSpaceDN/>
        <w:bidi w:val="0"/>
        <w:adjustRightInd/>
        <w:snapToGrid/>
        <w:ind w:firstLine="640" w:firstLineChars="200"/>
        <w:jc w:val="left"/>
        <w:textAlignment w:val="auto"/>
        <w:rPr>
          <w:rFonts w:hint="eastAsia" w:ascii="楷体" w:hAnsi="楷体" w:eastAsia="楷体" w:cs="楷体"/>
          <w:b w:val="0"/>
          <w:bCs w:val="0"/>
          <w:color w:val="000000"/>
          <w:kern w:val="0"/>
          <w:sz w:val="32"/>
          <w:szCs w:val="32"/>
          <w:lang w:val="en-US" w:eastAsia="zh-CN"/>
        </w:rPr>
      </w:pPr>
      <w:r>
        <w:rPr>
          <w:rFonts w:hint="eastAsia" w:ascii="楷体" w:hAnsi="楷体" w:eastAsia="楷体" w:cs="楷体"/>
          <w:b w:val="0"/>
          <w:bCs w:val="0"/>
          <w:color w:val="000000"/>
          <w:kern w:val="0"/>
          <w:sz w:val="32"/>
          <w:szCs w:val="32"/>
          <w:lang w:val="en-US" w:eastAsia="zh-CN"/>
        </w:rPr>
        <w:t>（五）绿色通道</w:t>
      </w:r>
    </w:p>
    <w:p w14:paraId="7BE5A251">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按照《河北省推进科研人员职称分类评价实施细则（试行）》（冀人社规〔2016〕11号）有关规定，对符合条件的科研人才及其他高层次、急需紧缺、特殊贡献人才，采取一事一议，一人一策的方式，不拘一格选拔人才，通过绿色通道评审相应职称，可按照特设岗位予以聘用。绿色通道具体条件参照《进一步明确职称工作有关问题》（冀人社字〔2020〕280号）与我校相关规定执行，以第一作者或通讯作者在国内外顶尖期刊上发表原创性</w:t>
      </w:r>
      <w:r>
        <w:rPr>
          <w:rFonts w:hint="default" w:ascii="仿宋" w:hAnsi="仿宋" w:eastAsia="仿宋" w:cs="仿宋"/>
          <w:b w:val="0"/>
          <w:bCs/>
          <w:sz w:val="32"/>
          <w:szCs w:val="32"/>
          <w:lang w:val="en-US" w:eastAsia="zh-CN"/>
        </w:rPr>
        <w:t>研究论文</w:t>
      </w:r>
      <w:r>
        <w:rPr>
          <w:rFonts w:hint="eastAsia" w:ascii="仿宋" w:hAnsi="仿宋" w:eastAsia="仿宋" w:cs="仿宋"/>
          <w:b w:val="0"/>
          <w:bCs/>
          <w:sz w:val="32"/>
          <w:szCs w:val="32"/>
          <w:lang w:val="en-US" w:eastAsia="zh-CN"/>
        </w:rPr>
        <w:t>的影响因子要在30以上。</w:t>
      </w:r>
    </w:p>
    <w:p w14:paraId="178EEEBA">
      <w:pPr>
        <w:keepNext w:val="0"/>
        <w:keepLines w:val="0"/>
        <w:pageBreakBefore w:val="0"/>
        <w:widowControl/>
        <w:kinsoku/>
        <w:wordWrap/>
        <w:overflowPunct/>
        <w:topLinePunct w:val="0"/>
        <w:autoSpaceDN/>
        <w:bidi w:val="0"/>
        <w:spacing w:line="600" w:lineRule="exact"/>
        <w:ind w:firstLine="640" w:firstLineChars="200"/>
        <w:textAlignment w:val="auto"/>
        <w:rPr>
          <w:rFonts w:hint="eastAsia" w:ascii="仿宋" w:hAnsi="仿宋" w:eastAsia="仿宋" w:cs="仿宋"/>
          <w:b w:val="0"/>
          <w:bCs/>
          <w:sz w:val="32"/>
          <w:szCs w:val="32"/>
          <w:lang w:val="en-US" w:eastAsia="zh-CN"/>
        </w:rPr>
      </w:pPr>
      <w:r>
        <w:rPr>
          <w:rFonts w:hint="eastAsia" w:ascii="楷体" w:hAnsi="楷体" w:eastAsia="楷体" w:cs="楷体"/>
          <w:b w:val="0"/>
          <w:bCs w:val="0"/>
          <w:color w:val="000000"/>
          <w:kern w:val="0"/>
          <w:sz w:val="32"/>
          <w:szCs w:val="32"/>
          <w:lang w:eastAsia="zh-CN"/>
        </w:rPr>
        <w:t>（</w:t>
      </w:r>
      <w:r>
        <w:rPr>
          <w:rFonts w:hint="eastAsia" w:ascii="楷体" w:hAnsi="楷体" w:eastAsia="楷体" w:cs="楷体"/>
          <w:b w:val="0"/>
          <w:bCs w:val="0"/>
          <w:color w:val="000000"/>
          <w:kern w:val="0"/>
          <w:sz w:val="32"/>
          <w:szCs w:val="32"/>
        </w:rPr>
        <w:t>六</w:t>
      </w:r>
      <w:r>
        <w:rPr>
          <w:rFonts w:hint="eastAsia" w:ascii="楷体" w:hAnsi="楷体" w:eastAsia="楷体" w:cs="楷体"/>
          <w:b w:val="0"/>
          <w:bCs w:val="0"/>
          <w:color w:val="000000"/>
          <w:kern w:val="0"/>
          <w:sz w:val="32"/>
          <w:szCs w:val="32"/>
          <w:lang w:eastAsia="zh-CN"/>
        </w:rPr>
        <w:t>）</w:t>
      </w:r>
      <w:r>
        <w:rPr>
          <w:rFonts w:hint="eastAsia" w:ascii="楷体" w:hAnsi="楷体" w:eastAsia="楷体" w:cs="楷体"/>
          <w:b w:val="0"/>
          <w:bCs w:val="0"/>
          <w:color w:val="000000"/>
          <w:kern w:val="0"/>
          <w:sz w:val="32"/>
          <w:szCs w:val="32"/>
        </w:rPr>
        <w:t>破格申报问题。</w:t>
      </w:r>
      <w:r>
        <w:rPr>
          <w:rFonts w:hint="eastAsia" w:ascii="仿宋" w:hAnsi="仿宋" w:eastAsia="仿宋" w:cs="仿宋"/>
          <w:b w:val="0"/>
          <w:bCs/>
          <w:sz w:val="32"/>
          <w:szCs w:val="32"/>
          <w:lang w:val="en-US" w:eastAsia="zh-CN"/>
        </w:rPr>
        <w:t>破格申报者必须符合破格条件并填写审批表，否则不予受理。</w:t>
      </w:r>
    </w:p>
    <w:p w14:paraId="0C4B1DE3">
      <w:pPr>
        <w:keepNext w:val="0"/>
        <w:keepLines w:val="0"/>
        <w:pageBreakBefore w:val="0"/>
        <w:kinsoku/>
        <w:wordWrap/>
        <w:overflowPunct/>
        <w:topLinePunct w:val="0"/>
        <w:autoSpaceDN/>
        <w:bidi w:val="0"/>
        <w:spacing w:line="600" w:lineRule="exact"/>
        <w:ind w:firstLine="616" w:firstLineChars="200"/>
        <w:textAlignment w:val="auto"/>
        <w:rPr>
          <w:rFonts w:ascii="楷体" w:hAnsi="楷体" w:eastAsia="楷体" w:cs="楷体"/>
          <w:b w:val="0"/>
          <w:bCs w:val="0"/>
          <w:color w:val="000000"/>
          <w:spacing w:val="-6"/>
          <w:kern w:val="0"/>
          <w:sz w:val="32"/>
          <w:szCs w:val="32"/>
        </w:rPr>
      </w:pPr>
      <w:r>
        <w:rPr>
          <w:rFonts w:hint="eastAsia" w:ascii="楷体" w:hAnsi="楷体" w:eastAsia="楷体" w:cs="楷体"/>
          <w:b w:val="0"/>
          <w:bCs w:val="0"/>
          <w:color w:val="000000"/>
          <w:spacing w:val="-6"/>
          <w:kern w:val="0"/>
          <w:sz w:val="32"/>
          <w:szCs w:val="32"/>
          <w:lang w:eastAsia="zh-CN"/>
        </w:rPr>
        <w:t>（</w:t>
      </w:r>
      <w:r>
        <w:rPr>
          <w:rFonts w:hint="eastAsia" w:ascii="楷体" w:hAnsi="楷体" w:eastAsia="楷体" w:cs="楷体"/>
          <w:b w:val="0"/>
          <w:bCs w:val="0"/>
          <w:color w:val="000000"/>
          <w:spacing w:val="-6"/>
          <w:kern w:val="0"/>
          <w:sz w:val="32"/>
          <w:szCs w:val="32"/>
        </w:rPr>
        <w:t>七</w:t>
      </w:r>
      <w:r>
        <w:rPr>
          <w:rFonts w:hint="eastAsia" w:ascii="楷体" w:hAnsi="楷体" w:eastAsia="楷体" w:cs="楷体"/>
          <w:b w:val="0"/>
          <w:bCs w:val="0"/>
          <w:color w:val="000000"/>
          <w:spacing w:val="-6"/>
          <w:kern w:val="0"/>
          <w:sz w:val="32"/>
          <w:szCs w:val="32"/>
          <w:lang w:eastAsia="zh-CN"/>
        </w:rPr>
        <w:t>）</w:t>
      </w:r>
      <w:r>
        <w:rPr>
          <w:rFonts w:hint="eastAsia" w:ascii="楷体" w:hAnsi="楷体" w:eastAsia="楷体" w:cs="楷体"/>
          <w:b w:val="0"/>
          <w:bCs w:val="0"/>
          <w:color w:val="000000"/>
          <w:spacing w:val="-6"/>
          <w:kern w:val="0"/>
          <w:sz w:val="32"/>
          <w:szCs w:val="32"/>
        </w:rPr>
        <w:t>关于后取学历人员晋升专业技术职务任职资格问题</w:t>
      </w:r>
    </w:p>
    <w:p w14:paraId="30581A93">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对先从事专业技术工作后取得学历的专业技术人员，其所取得的学历，符合《专业技术职务任职资格申报评审条件》规定的学历，申报晋升专业技术职务任职资格，可按下列条件掌握：</w:t>
      </w:r>
    </w:p>
    <w:p w14:paraId="4239E7CC">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1.申报助理级专业技术资格</w:t>
      </w:r>
    </w:p>
    <w:p w14:paraId="50B47BB7">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中专毕业，取得员级专业技术职务任职资格满六年以上；大专毕业，取得员级专业技术职务任职资格满四年以上。</w:t>
      </w:r>
    </w:p>
    <w:p w14:paraId="1DA664BB">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2.申报中级专业技术职务资格</w:t>
      </w:r>
    </w:p>
    <w:p w14:paraId="41B5F419">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大学本科毕业、大专毕业，取得助理级专业技术职务任职资格满六年以上。</w:t>
      </w:r>
    </w:p>
    <w:p w14:paraId="36A7EEFE">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3.申报高级专业技术职务资格</w:t>
      </w:r>
    </w:p>
    <w:p w14:paraId="5EAB8A05">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大学本科毕业，取得中级专业技术职务任职资格满七年以上，有特殊要求的除外。</w:t>
      </w:r>
    </w:p>
    <w:p w14:paraId="4411178B">
      <w:pPr>
        <w:keepNext w:val="0"/>
        <w:keepLines w:val="0"/>
        <w:pageBreakBefore w:val="0"/>
        <w:widowControl/>
        <w:numPr>
          <w:ilvl w:val="0"/>
          <w:numId w:val="0"/>
        </w:numPr>
        <w:kinsoku/>
        <w:wordWrap/>
        <w:overflowPunct/>
        <w:topLinePunct w:val="0"/>
        <w:autoSpaceDE/>
        <w:autoSpaceDN/>
        <w:bidi w:val="0"/>
        <w:adjustRightInd/>
        <w:snapToGrid/>
        <w:spacing w:line="600" w:lineRule="exact"/>
        <w:ind w:firstLine="640" w:firstLineChars="200"/>
        <w:jc w:val="left"/>
        <w:textAlignment w:val="auto"/>
        <w:rPr>
          <w:rFonts w:hint="eastAsia" w:ascii="楷体" w:hAnsi="楷体" w:eastAsia="楷体" w:cs="楷体"/>
          <w:b w:val="0"/>
          <w:bCs w:val="0"/>
          <w:color w:val="000000"/>
          <w:kern w:val="0"/>
          <w:sz w:val="32"/>
          <w:szCs w:val="32"/>
        </w:rPr>
      </w:pPr>
      <w:r>
        <w:rPr>
          <w:rFonts w:hint="eastAsia" w:ascii="楷体" w:hAnsi="楷体" w:eastAsia="楷体" w:cs="楷体"/>
          <w:b w:val="0"/>
          <w:bCs w:val="0"/>
          <w:color w:val="000000"/>
          <w:kern w:val="0"/>
          <w:sz w:val="32"/>
          <w:szCs w:val="32"/>
          <w:lang w:eastAsia="zh-CN"/>
        </w:rPr>
        <w:t>（</w:t>
      </w:r>
      <w:r>
        <w:rPr>
          <w:rFonts w:hint="eastAsia" w:ascii="楷体" w:hAnsi="楷体" w:eastAsia="楷体" w:cs="楷体"/>
          <w:b w:val="0"/>
          <w:bCs w:val="0"/>
          <w:color w:val="000000"/>
          <w:kern w:val="0"/>
          <w:sz w:val="32"/>
          <w:szCs w:val="32"/>
          <w:lang w:val="en-US" w:eastAsia="zh-CN"/>
        </w:rPr>
        <w:t>八）</w:t>
      </w:r>
      <w:r>
        <w:rPr>
          <w:rFonts w:hint="eastAsia" w:ascii="楷体" w:hAnsi="楷体" w:eastAsia="楷体" w:cs="楷体"/>
          <w:b w:val="0"/>
          <w:bCs w:val="0"/>
          <w:color w:val="000000"/>
          <w:kern w:val="0"/>
          <w:sz w:val="32"/>
          <w:szCs w:val="32"/>
        </w:rPr>
        <w:t>关于转系列申报问题</w:t>
      </w:r>
    </w:p>
    <w:p w14:paraId="01687F0A">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转评相同级别任职资格，须在现岗位工作一年以上。转评后晋升高一级专业技术职务时，须在改评一年以后并相应增加一年任职年限。</w:t>
      </w:r>
    </w:p>
    <w:p w14:paraId="4CD28924">
      <w:pPr>
        <w:keepNext w:val="0"/>
        <w:keepLines w:val="0"/>
        <w:pageBreakBefore w:val="0"/>
        <w:numPr>
          <w:ilvl w:val="0"/>
          <w:numId w:val="0"/>
        </w:numPr>
        <w:kinsoku/>
        <w:wordWrap/>
        <w:overflowPunct/>
        <w:topLinePunct w:val="0"/>
        <w:autoSpaceDN/>
        <w:bidi w:val="0"/>
        <w:spacing w:line="600" w:lineRule="exact"/>
        <w:ind w:firstLine="640" w:firstLineChars="200"/>
        <w:textAlignment w:val="auto"/>
        <w:rPr>
          <w:rFonts w:hint="eastAsia" w:ascii="楷体" w:hAnsi="楷体" w:eastAsia="楷体" w:cs="楷体"/>
          <w:b w:val="0"/>
          <w:bCs w:val="0"/>
          <w:color w:val="000000"/>
          <w:kern w:val="0"/>
          <w:sz w:val="32"/>
          <w:szCs w:val="32"/>
          <w:lang w:eastAsia="zh-CN"/>
        </w:rPr>
      </w:pPr>
      <w:r>
        <w:rPr>
          <w:rFonts w:hint="eastAsia" w:ascii="楷体" w:hAnsi="楷体" w:eastAsia="楷体" w:cs="楷体"/>
          <w:b w:val="0"/>
          <w:bCs w:val="0"/>
          <w:color w:val="000000"/>
          <w:kern w:val="0"/>
          <w:sz w:val="32"/>
          <w:szCs w:val="32"/>
          <w:lang w:eastAsia="zh-CN"/>
        </w:rPr>
        <w:t>（</w:t>
      </w:r>
      <w:r>
        <w:rPr>
          <w:rFonts w:hint="eastAsia" w:ascii="楷体" w:hAnsi="楷体" w:eastAsia="楷体" w:cs="楷体"/>
          <w:b w:val="0"/>
          <w:bCs w:val="0"/>
          <w:color w:val="000000"/>
          <w:kern w:val="0"/>
          <w:sz w:val="32"/>
          <w:szCs w:val="32"/>
          <w:lang w:val="en-US" w:eastAsia="zh-CN"/>
        </w:rPr>
        <w:t>九）</w:t>
      </w:r>
      <w:r>
        <w:rPr>
          <w:rFonts w:hint="eastAsia" w:ascii="楷体" w:hAnsi="楷体" w:eastAsia="楷体" w:cs="楷体"/>
          <w:b w:val="0"/>
          <w:bCs w:val="0"/>
          <w:color w:val="000000"/>
          <w:kern w:val="0"/>
          <w:sz w:val="32"/>
          <w:szCs w:val="32"/>
        </w:rPr>
        <w:t>关于从不属于参评范围到属于参评范围并从事本专业或相近专业的技术人员申报评审专业技术职务任职资格问题</w:t>
      </w:r>
    </w:p>
    <w:p w14:paraId="18A4218B">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大学本科毕业并从事本专业或相近专业工作满五年、十一年、十六年，符合本专业相应职务任职资格申报条件，可分别申报中级、副高级、正高级（教授职务任职资格除外）；大学专科毕业并从事本专业或相近专业工作满七年，符合相应职务任职资格申报条件，可申报中级。</w:t>
      </w:r>
    </w:p>
    <w:p w14:paraId="0139B960">
      <w:pPr>
        <w:keepNext w:val="0"/>
        <w:keepLines w:val="0"/>
        <w:pageBreakBefore w:val="0"/>
        <w:widowControl/>
        <w:numPr>
          <w:ilvl w:val="0"/>
          <w:numId w:val="0"/>
        </w:numPr>
        <w:kinsoku/>
        <w:wordWrap/>
        <w:overflowPunct/>
        <w:topLinePunct w:val="0"/>
        <w:autoSpaceDN/>
        <w:bidi w:val="0"/>
        <w:spacing w:line="600" w:lineRule="exact"/>
        <w:ind w:firstLine="640" w:firstLineChars="200"/>
        <w:jc w:val="both"/>
        <w:textAlignment w:val="auto"/>
        <w:rPr>
          <w:rFonts w:hint="eastAsia" w:ascii="楷体" w:hAnsi="楷体" w:eastAsia="楷体" w:cs="楷体"/>
          <w:b w:val="0"/>
          <w:bCs w:val="0"/>
          <w:color w:val="000000"/>
          <w:kern w:val="0"/>
          <w:sz w:val="32"/>
          <w:szCs w:val="32"/>
          <w:lang w:val="en-US" w:eastAsia="zh-CN"/>
        </w:rPr>
      </w:pPr>
      <w:r>
        <w:rPr>
          <w:rFonts w:hint="eastAsia" w:ascii="楷体" w:hAnsi="楷体" w:eastAsia="楷体" w:cs="楷体"/>
          <w:b w:val="0"/>
          <w:bCs w:val="0"/>
          <w:color w:val="000000"/>
          <w:kern w:val="0"/>
          <w:sz w:val="32"/>
          <w:szCs w:val="32"/>
          <w:lang w:val="en-US" w:eastAsia="zh-CN"/>
        </w:rPr>
        <w:t>（十）工作量要求</w:t>
      </w:r>
    </w:p>
    <w:p w14:paraId="46FC2F2B">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 xml:space="preserve">近三年完成的工作量是指2021、2022、2023年度完成的教学工作量。教学工作量一律以标准课时计算。各教学单位对本单位申报人员的工作量必须由专人核实，经教学管理部门审核后由单位统一上报。  </w:t>
      </w:r>
    </w:p>
    <w:p w14:paraId="7A0C4F6E">
      <w:pPr>
        <w:keepNext w:val="0"/>
        <w:keepLines w:val="0"/>
        <w:pageBreakBefore w:val="0"/>
        <w:numPr>
          <w:ilvl w:val="0"/>
          <w:numId w:val="0"/>
        </w:numPr>
        <w:kinsoku/>
        <w:wordWrap/>
        <w:overflowPunct/>
        <w:topLinePunct w:val="0"/>
        <w:autoSpaceDN/>
        <w:bidi w:val="0"/>
        <w:spacing w:line="600" w:lineRule="exact"/>
        <w:ind w:firstLine="640" w:firstLineChars="200"/>
        <w:textAlignment w:val="auto"/>
        <w:rPr>
          <w:rFonts w:hint="eastAsia" w:ascii="楷体" w:hAnsi="楷体" w:eastAsia="楷体" w:cs="楷体"/>
          <w:b w:val="0"/>
          <w:bCs w:val="0"/>
          <w:color w:val="000000"/>
          <w:kern w:val="0"/>
          <w:sz w:val="32"/>
          <w:szCs w:val="32"/>
          <w:lang w:val="en-US" w:eastAsia="zh-CN"/>
        </w:rPr>
      </w:pPr>
      <w:r>
        <w:rPr>
          <w:rFonts w:hint="eastAsia" w:ascii="楷体" w:hAnsi="楷体" w:eastAsia="楷体" w:cs="楷体"/>
          <w:b w:val="0"/>
          <w:bCs w:val="0"/>
          <w:color w:val="000000"/>
          <w:kern w:val="0"/>
          <w:sz w:val="32"/>
          <w:szCs w:val="32"/>
          <w:lang w:eastAsia="zh-CN"/>
        </w:rPr>
        <w:t>（</w:t>
      </w:r>
      <w:r>
        <w:rPr>
          <w:rFonts w:hint="eastAsia" w:ascii="楷体" w:hAnsi="楷体" w:eastAsia="楷体" w:cs="楷体"/>
          <w:b w:val="0"/>
          <w:bCs w:val="0"/>
          <w:color w:val="000000"/>
          <w:kern w:val="0"/>
          <w:sz w:val="32"/>
          <w:szCs w:val="32"/>
          <w:lang w:val="en-US" w:eastAsia="zh-CN"/>
        </w:rPr>
        <w:t>十一）</w:t>
      </w:r>
      <w:r>
        <w:rPr>
          <w:rFonts w:hint="eastAsia" w:ascii="楷体" w:hAnsi="楷体" w:eastAsia="楷体" w:cs="楷体"/>
          <w:b w:val="0"/>
          <w:bCs w:val="0"/>
          <w:color w:val="000000"/>
          <w:kern w:val="0"/>
          <w:sz w:val="32"/>
          <w:szCs w:val="32"/>
        </w:rPr>
        <w:t>关于论文</w:t>
      </w:r>
      <w:r>
        <w:rPr>
          <w:rFonts w:hint="eastAsia" w:ascii="楷体" w:hAnsi="楷体" w:eastAsia="楷体" w:cs="楷体"/>
          <w:b w:val="0"/>
          <w:bCs w:val="0"/>
          <w:color w:val="000000"/>
          <w:kern w:val="0"/>
          <w:sz w:val="32"/>
          <w:szCs w:val="32"/>
          <w:lang w:val="en-US" w:eastAsia="zh-CN"/>
        </w:rPr>
        <w:t>有关规定</w:t>
      </w:r>
    </w:p>
    <w:p w14:paraId="5DF30ECA">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北京大学图书馆和北京高校图书馆期刊工作研究会推出的《中文核心期刊目录总览》和南京大学编制的《中文社会科学引文索引（CSSCI）》中的期刊上发表的论文，以论文发表时间对应的已经正式出版的核心期刊目录版本为准。职称评审材料中有检索论文的，必须同时提交由中国科学技术信息研究所等正规检索机构出具的论文检索报告。</w:t>
      </w:r>
    </w:p>
    <w:p w14:paraId="737311E0">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学术论文或论著须是在合法期刊上已经正式发表或正式出版的本专业学术论文或论著。增刊或普通会议论文集不能按正式发表论文对待。</w:t>
      </w:r>
    </w:p>
    <w:p w14:paraId="3F96C253">
      <w:pPr>
        <w:keepNext w:val="0"/>
        <w:keepLines w:val="0"/>
        <w:pageBreakBefore w:val="0"/>
        <w:widowControl/>
        <w:numPr>
          <w:ilvl w:val="0"/>
          <w:numId w:val="0"/>
        </w:numPr>
        <w:kinsoku/>
        <w:wordWrap/>
        <w:overflowPunct/>
        <w:topLinePunct w:val="0"/>
        <w:autoSpaceDN/>
        <w:bidi w:val="0"/>
        <w:spacing w:line="600" w:lineRule="exact"/>
        <w:ind w:firstLine="640" w:firstLineChars="200"/>
        <w:jc w:val="both"/>
        <w:textAlignment w:val="auto"/>
        <w:rPr>
          <w:rFonts w:hint="eastAsia" w:ascii="楷体" w:hAnsi="楷体" w:eastAsia="楷体" w:cs="楷体"/>
          <w:b w:val="0"/>
          <w:bCs w:val="0"/>
          <w:color w:val="000000"/>
          <w:kern w:val="0"/>
          <w:sz w:val="32"/>
          <w:szCs w:val="32"/>
          <w:lang w:val="en-US" w:eastAsia="zh-CN"/>
        </w:rPr>
      </w:pPr>
      <w:r>
        <w:rPr>
          <w:rFonts w:hint="eastAsia" w:ascii="楷体" w:hAnsi="楷体" w:eastAsia="楷体" w:cs="楷体"/>
          <w:b w:val="0"/>
          <w:bCs w:val="0"/>
          <w:color w:val="000000"/>
          <w:kern w:val="0"/>
          <w:sz w:val="32"/>
          <w:szCs w:val="32"/>
          <w:lang w:val="en-US" w:eastAsia="zh-CN"/>
        </w:rPr>
        <w:t>（十二）关于申报材料的要求</w:t>
      </w:r>
    </w:p>
    <w:p w14:paraId="13320E5B">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申报人在二级单位申报时向二级单位提交各类证书、论文、论著等材料的原件，二级单位负责真实性审核并在复印件盖章。原件无需再向人事处提供。</w:t>
      </w:r>
    </w:p>
    <w:p w14:paraId="35554788">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r>
        <w:rPr>
          <w:rFonts w:hint="eastAsia" w:ascii="仿宋" w:hAnsi="仿宋" w:eastAsia="仿宋" w:cs="仿宋"/>
          <w:b w:val="0"/>
          <w:bCs/>
          <w:sz w:val="32"/>
          <w:szCs w:val="32"/>
          <w:lang w:val="en-US" w:eastAsia="zh-CN"/>
        </w:rPr>
        <w:t>其它未尽事宜，按我省职称工作现行政策规定执行。</w:t>
      </w:r>
    </w:p>
    <w:p w14:paraId="63F82017">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p>
    <w:p w14:paraId="25741937">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p>
    <w:p w14:paraId="0A299549">
      <w:pPr>
        <w:keepNext w:val="0"/>
        <w:keepLines w:val="0"/>
        <w:pageBreakBefore w:val="0"/>
        <w:widowControl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 w:val="0"/>
          <w:bCs/>
          <w:sz w:val="32"/>
          <w:szCs w:val="32"/>
          <w:lang w:val="en-US" w:eastAsia="zh-CN"/>
        </w:rPr>
      </w:pPr>
    </w:p>
    <w:p w14:paraId="00E77956">
      <w:pPr>
        <w:keepNext w:val="0"/>
        <w:keepLines w:val="0"/>
        <w:pageBreakBefore w:val="0"/>
        <w:widowControl/>
        <w:kinsoku/>
        <w:wordWrap w:val="0"/>
        <w:overflowPunct/>
        <w:topLinePunct w:val="0"/>
        <w:autoSpaceDE/>
        <w:autoSpaceDN/>
        <w:bidi w:val="0"/>
        <w:spacing w:line="580" w:lineRule="exact"/>
        <w:ind w:left="1596" w:leftChars="760" w:firstLine="2880" w:firstLineChars="900"/>
        <w:jc w:val="right"/>
        <w:textAlignment w:val="auto"/>
        <w:rPr>
          <w:rFonts w:hint="default" w:ascii="仿宋_GB2312" w:hAnsi="宋体" w:eastAsia="仿宋_GB2312" w:cs="宋体"/>
          <w:color w:val="000000"/>
          <w:kern w:val="0"/>
          <w:sz w:val="32"/>
          <w:szCs w:val="32"/>
          <w:lang w:val="en-US" w:eastAsia="zh-CN"/>
        </w:rPr>
      </w:pPr>
      <w:r>
        <w:rPr>
          <w:rFonts w:hint="eastAsia" w:ascii="仿宋_GB2312" w:hAnsi="宋体" w:eastAsia="仿宋_GB2312" w:cs="宋体"/>
          <w:color w:val="000000"/>
          <w:kern w:val="0"/>
          <w:sz w:val="32"/>
          <w:szCs w:val="32"/>
          <w:lang w:val="en-US" w:eastAsia="zh-CN"/>
        </w:rPr>
        <w:t xml:space="preserve">2024年8月24日  </w:t>
      </w:r>
    </w:p>
    <w:p w14:paraId="5730E83C">
      <w:pPr>
        <w:keepNext w:val="0"/>
        <w:keepLines w:val="0"/>
        <w:pageBreakBefore w:val="0"/>
        <w:widowControl/>
        <w:kinsoku/>
        <w:wordWrap/>
        <w:overflowPunct/>
        <w:topLinePunct w:val="0"/>
        <w:autoSpaceDE/>
        <w:autoSpaceDN/>
        <w:bidi w:val="0"/>
        <w:adjustRightInd/>
        <w:snapToGrid/>
        <w:spacing w:line="240" w:lineRule="exact"/>
        <w:ind w:left="1596" w:leftChars="760" w:firstLine="2880" w:firstLineChars="900"/>
        <w:jc w:val="left"/>
        <w:textAlignment w:val="auto"/>
        <w:rPr>
          <w:rFonts w:hint="eastAsia" w:ascii="仿宋_GB2312" w:hAnsi="宋体" w:eastAsia="仿宋_GB2312" w:cs="宋体"/>
          <w:color w:val="000000"/>
          <w:kern w:val="0"/>
          <w:sz w:val="32"/>
          <w:szCs w:val="32"/>
          <w:lang w:val="en-US" w:eastAsia="zh-CN"/>
        </w:rPr>
      </w:pPr>
    </w:p>
    <w:p w14:paraId="187DFCDC">
      <w:pPr>
        <w:keepNext w:val="0"/>
        <w:keepLines w:val="0"/>
        <w:pageBreakBefore w:val="0"/>
        <w:widowControl/>
        <w:kinsoku/>
        <w:wordWrap/>
        <w:overflowPunct/>
        <w:topLinePunct w:val="0"/>
        <w:autoSpaceDE/>
        <w:autoSpaceDN/>
        <w:bidi w:val="0"/>
        <w:adjustRightInd/>
        <w:snapToGrid/>
        <w:spacing w:line="240" w:lineRule="exact"/>
        <w:ind w:left="1596" w:leftChars="760" w:firstLine="2880" w:firstLineChars="900"/>
        <w:jc w:val="left"/>
        <w:textAlignment w:val="auto"/>
        <w:rPr>
          <w:rFonts w:hint="eastAsia" w:ascii="仿宋_GB2312" w:hAnsi="宋体" w:eastAsia="仿宋_GB2312" w:cs="宋体"/>
          <w:color w:val="000000"/>
          <w:kern w:val="0"/>
          <w:sz w:val="32"/>
          <w:szCs w:val="32"/>
          <w:lang w:val="en-US" w:eastAsia="zh-CN"/>
        </w:rPr>
      </w:pPr>
    </w:p>
    <w:p w14:paraId="1C2B442E">
      <w:pPr>
        <w:keepNext w:val="0"/>
        <w:keepLines w:val="0"/>
        <w:pageBreakBefore w:val="0"/>
        <w:widowControl/>
        <w:kinsoku/>
        <w:wordWrap/>
        <w:overflowPunct/>
        <w:topLinePunct w:val="0"/>
        <w:autoSpaceDE/>
        <w:autoSpaceDN/>
        <w:bidi w:val="0"/>
        <w:adjustRightInd/>
        <w:snapToGrid/>
        <w:spacing w:after="157" w:afterLines="50" w:line="240" w:lineRule="exact"/>
        <w:jc w:val="left"/>
        <w:textAlignment w:val="auto"/>
        <w:rPr>
          <w:rFonts w:hint="eastAsia" w:ascii="仿宋_GB2312" w:hAnsi="宋体" w:eastAsia="仿宋_GB2312" w:cs="宋体"/>
          <w:color w:val="000000"/>
          <w:kern w:val="0"/>
          <w:sz w:val="32"/>
          <w:szCs w:val="32"/>
          <w:lang w:val="en-US" w:eastAsia="zh-CN"/>
        </w:rPr>
      </w:pPr>
    </w:p>
    <w:p w14:paraId="2131EF04">
      <w:pPr>
        <w:keepNext w:val="0"/>
        <w:keepLines w:val="0"/>
        <w:pageBreakBefore w:val="0"/>
        <w:widowControl w:val="0"/>
        <w:kinsoku/>
        <w:wordWrap/>
        <w:overflowPunct/>
        <w:topLinePunct w:val="0"/>
        <w:autoSpaceDE/>
        <w:autoSpaceDN/>
        <w:bidi w:val="0"/>
        <w:adjustRightInd/>
        <w:snapToGrid/>
        <w:spacing w:line="280" w:lineRule="atLeast"/>
        <w:textAlignment w:val="auto"/>
        <w:rPr>
          <w:rFonts w:hint="eastAsia"/>
          <w:lang w:val="en-US" w:eastAsia="zh-CN"/>
        </w:rPr>
      </w:pPr>
    </w:p>
    <w:p w14:paraId="2BE65B58">
      <w:pPr>
        <w:keepNext w:val="0"/>
        <w:keepLines w:val="0"/>
        <w:pageBreakBefore w:val="0"/>
        <w:widowControl w:val="0"/>
        <w:kinsoku/>
        <w:wordWrap/>
        <w:overflowPunct/>
        <w:topLinePunct w:val="0"/>
        <w:autoSpaceDE/>
        <w:autoSpaceDN/>
        <w:bidi w:val="0"/>
        <w:adjustRightInd/>
        <w:snapToGrid/>
        <w:spacing w:line="280" w:lineRule="atLeast"/>
        <w:textAlignment w:val="auto"/>
        <w:rPr>
          <w:rFonts w:hint="eastAsia"/>
          <w:lang w:val="en-US" w:eastAsia="zh-CN"/>
        </w:rPr>
      </w:pPr>
    </w:p>
    <w:p w14:paraId="648F7920">
      <w:pPr>
        <w:keepNext w:val="0"/>
        <w:keepLines w:val="0"/>
        <w:pageBreakBefore w:val="0"/>
        <w:widowControl w:val="0"/>
        <w:kinsoku/>
        <w:wordWrap/>
        <w:overflowPunct/>
        <w:topLinePunct w:val="0"/>
        <w:autoSpaceDE/>
        <w:autoSpaceDN/>
        <w:bidi w:val="0"/>
        <w:adjustRightInd/>
        <w:snapToGrid/>
        <w:spacing w:line="280" w:lineRule="atLeast"/>
        <w:textAlignment w:val="auto"/>
        <w:rPr>
          <w:rFonts w:hint="eastAsia"/>
          <w:lang w:val="en-US" w:eastAsia="zh-CN"/>
        </w:rPr>
      </w:pPr>
    </w:p>
    <w:p w14:paraId="4563F1A1">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lang w:val="en-US" w:eastAsia="zh-CN"/>
        </w:rPr>
      </w:pPr>
    </w:p>
    <w:p w14:paraId="1EEBC15A">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lang w:val="en-US" w:eastAsia="zh-CN"/>
        </w:rPr>
      </w:pPr>
    </w:p>
    <w:p w14:paraId="7851316A">
      <w:pPr>
        <w:keepNext w:val="0"/>
        <w:keepLines w:val="0"/>
        <w:pageBreakBefore w:val="0"/>
        <w:widowControl w:val="0"/>
        <w:kinsoku/>
        <w:wordWrap/>
        <w:overflowPunct/>
        <w:topLinePunct w:val="0"/>
        <w:autoSpaceDE/>
        <w:autoSpaceDN/>
        <w:bidi w:val="0"/>
        <w:adjustRightInd/>
        <w:snapToGrid/>
        <w:spacing w:after="313" w:afterLines="100" w:line="360" w:lineRule="exact"/>
        <w:textAlignment w:val="auto"/>
        <w:rPr>
          <w:rFonts w:hint="eastAsia"/>
          <w:lang w:val="en-US" w:eastAsia="zh-CN"/>
        </w:rPr>
      </w:pPr>
    </w:p>
    <w:p w14:paraId="08BD701E">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lang w:val="en-US" w:eastAsia="zh-CN"/>
        </w:rPr>
      </w:pPr>
    </w:p>
    <w:p w14:paraId="05527F77">
      <w:pPr>
        <w:pBdr>
          <w:top w:val="single" w:color="auto" w:sz="4" w:space="1"/>
          <w:bottom w:val="single" w:color="auto" w:sz="4" w:space="1"/>
        </w:pBdr>
        <w:spacing w:line="400" w:lineRule="exact"/>
        <w:ind w:firstLine="140" w:firstLineChars="50"/>
        <w:rPr>
          <w:rFonts w:hint="default" w:ascii="仿宋" w:hAnsi="仿宋" w:eastAsia="仿宋" w:cs="仿宋"/>
          <w:sz w:val="21"/>
          <w:szCs w:val="21"/>
          <w:lang w:val="en-US" w:eastAsia="zh-CN"/>
        </w:rPr>
      </w:pPr>
      <w:r>
        <w:rPr>
          <w:rFonts w:hint="eastAsia" w:ascii="仿宋_GB2312" w:hAnsi="仿宋" w:eastAsia="仿宋_GB2312"/>
          <w:color w:val="auto"/>
          <w:sz w:val="28"/>
          <w:szCs w:val="28"/>
        </w:rPr>
        <w:t xml:space="preserve">河北建筑工程学院校长办公室   </w:t>
      </w:r>
      <w:r>
        <w:rPr>
          <w:rFonts w:hint="eastAsia" w:ascii="仿宋_GB2312" w:hAnsi="仿宋" w:eastAsia="仿宋_GB2312"/>
          <w:color w:val="auto"/>
          <w:sz w:val="28"/>
          <w:szCs w:val="28"/>
          <w:lang w:val="en-US" w:eastAsia="zh-CN"/>
        </w:rPr>
        <w:t xml:space="preserve">   </w:t>
      </w:r>
      <w:r>
        <w:rPr>
          <w:rFonts w:hint="eastAsia" w:ascii="仿宋_GB2312" w:hAnsi="仿宋" w:eastAsia="仿宋_GB2312"/>
          <w:color w:val="auto"/>
          <w:sz w:val="28"/>
          <w:szCs w:val="28"/>
        </w:rPr>
        <w:t xml:space="preserve">   </w:t>
      </w:r>
      <w:r>
        <w:rPr>
          <w:rFonts w:hint="eastAsia" w:ascii="仿宋_GB2312" w:hAnsi="仿宋" w:eastAsia="仿宋_GB2312"/>
          <w:color w:val="auto"/>
          <w:sz w:val="28"/>
          <w:szCs w:val="28"/>
          <w:lang w:val="en-US" w:eastAsia="zh-CN"/>
        </w:rPr>
        <w:t xml:space="preserve">   </w:t>
      </w:r>
      <w:r>
        <w:rPr>
          <w:rFonts w:hint="eastAsia" w:ascii="仿宋_GB2312" w:hAnsi="仿宋" w:eastAsia="仿宋_GB2312"/>
          <w:color w:val="auto"/>
          <w:sz w:val="28"/>
          <w:szCs w:val="28"/>
        </w:rPr>
        <w:t xml:space="preserve"> 202</w:t>
      </w:r>
      <w:r>
        <w:rPr>
          <w:rFonts w:hint="eastAsia" w:ascii="仿宋_GB2312" w:hAnsi="仿宋" w:eastAsia="仿宋_GB2312"/>
          <w:color w:val="auto"/>
          <w:sz w:val="28"/>
          <w:szCs w:val="28"/>
          <w:lang w:val="en-US" w:eastAsia="zh-CN"/>
        </w:rPr>
        <w:t>4</w:t>
      </w:r>
      <w:r>
        <w:rPr>
          <w:rFonts w:hint="eastAsia" w:ascii="仿宋_GB2312" w:hAnsi="仿宋" w:eastAsia="仿宋_GB2312"/>
          <w:color w:val="auto"/>
          <w:sz w:val="28"/>
          <w:szCs w:val="28"/>
        </w:rPr>
        <w:t>年</w:t>
      </w:r>
      <w:r>
        <w:rPr>
          <w:rFonts w:hint="eastAsia" w:ascii="仿宋_GB2312" w:hAnsi="仿宋" w:eastAsia="仿宋_GB2312"/>
          <w:color w:val="auto"/>
          <w:sz w:val="28"/>
          <w:szCs w:val="28"/>
          <w:lang w:val="en-US" w:eastAsia="zh-CN"/>
        </w:rPr>
        <w:t>8</w:t>
      </w:r>
      <w:r>
        <w:rPr>
          <w:rFonts w:hint="eastAsia" w:ascii="仿宋_GB2312" w:hAnsi="仿宋" w:eastAsia="仿宋_GB2312"/>
          <w:color w:val="auto"/>
          <w:sz w:val="28"/>
          <w:szCs w:val="28"/>
        </w:rPr>
        <w:t>月</w:t>
      </w:r>
      <w:r>
        <w:rPr>
          <w:rFonts w:hint="eastAsia" w:ascii="仿宋_GB2312" w:hAnsi="仿宋" w:eastAsia="仿宋_GB2312"/>
          <w:color w:val="auto"/>
          <w:sz w:val="28"/>
          <w:szCs w:val="28"/>
          <w:lang w:val="en-US" w:eastAsia="zh-CN"/>
        </w:rPr>
        <w:t>24</w:t>
      </w:r>
      <w:r>
        <w:rPr>
          <w:rFonts w:hint="eastAsia" w:ascii="仿宋_GB2312" w:hAnsi="仿宋" w:eastAsia="仿宋_GB2312"/>
          <w:color w:val="auto"/>
          <w:sz w:val="28"/>
          <w:szCs w:val="28"/>
        </w:rPr>
        <w:t>日印发</w:t>
      </w:r>
    </w:p>
    <w:p w14:paraId="0241994E">
      <w:pPr>
        <w:keepNext w:val="0"/>
        <w:keepLines w:val="0"/>
        <w:pageBreakBefore w:val="0"/>
        <w:widowControl w:val="0"/>
        <w:kinsoku/>
        <w:wordWrap/>
        <w:overflowPunct/>
        <w:topLinePunct w:val="0"/>
        <w:autoSpaceDE/>
        <w:autoSpaceDN/>
        <w:bidi w:val="0"/>
        <w:adjustRightInd/>
        <w:snapToGrid/>
        <w:spacing w:line="240" w:lineRule="exact"/>
        <w:textAlignment w:val="auto"/>
      </w:pPr>
    </w:p>
    <w:p w14:paraId="38E22F76">
      <w:pPr>
        <w:rPr>
          <w:rFonts w:hint="eastAsia"/>
        </w:rPr>
      </w:pPr>
    </w:p>
    <w:sectPr>
      <w:footerReference r:id="rId3"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894C6">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90EBD29">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path/>
              <v:fill on="f" focussize="0,0"/>
              <v:stroke on="f"/>
              <v:imagedata o:title=""/>
              <o:lock v:ext="edit" aspectratio="f"/>
              <v:textbox inset="0mm,0mm,0mm,0mm" style="mso-fit-shape-to-text:t;">
                <w:txbxContent>
                  <w:p w14:paraId="690EBD29">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4ODMwOWI2ZDE2OWVjY2Y4YWZhZDdhYzI3MTc2NzUifQ=="/>
  </w:docVars>
  <w:rsids>
    <w:rsidRoot w:val="0DF10C3C"/>
    <w:rsid w:val="0DD37D8A"/>
    <w:rsid w:val="0DF10C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2024-09-03T02:45:00Z</dcterms:created>
  <dc:creator>aa</dc:creator>
  <cp:lastModifiedBy>aa</cp:lastModifiedBy>
  <dcterms:modified xsi:type="dcterms:W3CDTF">2024-09-03T03:10:20Z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22453B5933764A48A790DC0057D888E5_13</vt:lpwstr>
  </property>
</Properties>
</file>