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2CE4B">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0E6C538C">
      <w:pPr>
        <w:ind w:firstLine="270" w:firstLineChars="100"/>
        <w:jc w:val="both"/>
        <w:rPr>
          <w:rFonts w:hint="eastAsia" w:ascii="宋体" w:hAnsi="宋体"/>
          <w:color w:val="000000"/>
          <w:sz w:val="27"/>
          <w:szCs w:val="27"/>
        </w:rPr>
      </w:pPr>
    </w:p>
    <w:p w14:paraId="365F9CC1">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92</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2" name="直接连接符 2"/>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q1CePw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VnzGWcOLF34&#10;3ecfvz59vf/5hda779/YLIvUB6wo9tZt4mmHYRMz40MTbf4TF3YYhD2ehVWHxAQdzqdXs/mcNBcP&#10;vuJPYoiYXitvWTZqbrTLnKGC/RtMVIxCH0LysXGsr/nL62mZ8YAmsKGbJ9MGYoGuHZLRGy3X2pic&#10;grHd3prI9kBTsF6X9GVOBPxXWK6yAuzGuME1zkenQL5ykqVjIH0cPQuee7BKcmYUvaJsESBUCbS5&#10;JJJKG5cT1DCjJ6JZ5FHWbG29PNLd7ELUbUfCTIees4dmYej+NLd52B7vyX7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D6rUJ4/AEAAPMDAAAOAAAAAAAAAAEAIAAAACcBAABkcnMvZTJv&#10;RG9jLnhtbFBLBQYAAAAABgAGAFkBAACVBQAAAAA=&#10;">
                <v:fill on="f" focussize="0,0"/>
                <v:stroke weight="3pt" color="#FF0000" joinstyle="round"/>
                <v:imagedata o:title=""/>
                <o:lock v:ext="edit" aspectratio="f"/>
              </v:line>
            </w:pict>
          </mc:Fallback>
        </mc:AlternateContent>
      </w:r>
    </w:p>
    <w:bookmarkEnd w:id="0"/>
    <w:p w14:paraId="47CF96B9">
      <w:pPr>
        <w:jc w:val="center"/>
        <w:rPr>
          <w:rFonts w:hint="eastAsia"/>
          <w:szCs w:val="21"/>
        </w:rPr>
      </w:pPr>
    </w:p>
    <w:p w14:paraId="2085A059">
      <w:pPr>
        <w:jc w:val="center"/>
        <w:rPr>
          <w:rFonts w:hint="eastAsia" w:eastAsia="宋体"/>
          <w:szCs w:val="21"/>
          <w:lang w:val="en-US" w:eastAsia="zh-CN"/>
        </w:rPr>
      </w:pPr>
      <w:r>
        <w:rPr>
          <w:rFonts w:hint="eastAsia"/>
          <w:szCs w:val="21"/>
          <w:lang w:val="en-US" w:eastAsia="zh-CN"/>
        </w:rPr>
        <w:t xml:space="preserve"> </w:t>
      </w:r>
    </w:p>
    <w:p w14:paraId="1BE1E536">
      <w:pPr>
        <w:pStyle w:val="2"/>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rPr>
      </w:pPr>
      <w:r>
        <w:rPr>
          <w:rFonts w:hint="eastAsia" w:ascii="宋体" w:hAnsi="宋体" w:eastAsia="宋体" w:cs="宋体"/>
          <w:b/>
          <w:bCs/>
          <w:color w:val="auto"/>
          <w:spacing w:val="0"/>
          <w:sz w:val="44"/>
          <w:szCs w:val="44"/>
        </w:rPr>
        <w:t>关于印发《河北建筑工程学院</w:t>
      </w:r>
    </w:p>
    <w:p w14:paraId="532320E4">
      <w:pPr>
        <w:pStyle w:val="2"/>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rPr>
      </w:pPr>
      <w:r>
        <w:rPr>
          <w:rFonts w:hint="eastAsia" w:ascii="宋体" w:hAnsi="宋体" w:eastAsia="宋体" w:cs="宋体"/>
          <w:b/>
          <w:bCs/>
          <w:color w:val="auto"/>
          <w:spacing w:val="0"/>
          <w:sz w:val="44"/>
          <w:szCs w:val="44"/>
        </w:rPr>
        <w:t>高层次人才引进与管理办法</w:t>
      </w:r>
      <w:r>
        <w:rPr>
          <w:rFonts w:hint="eastAsia" w:ascii="宋体" w:hAnsi="宋体" w:eastAsia="宋体" w:cs="宋体"/>
          <w:b/>
          <w:bCs/>
          <w:color w:val="auto"/>
          <w:spacing w:val="0"/>
          <w:sz w:val="44"/>
          <w:szCs w:val="44"/>
          <w:lang w:eastAsia="zh-CN"/>
        </w:rPr>
        <w:t>（</w:t>
      </w:r>
      <w:r>
        <w:rPr>
          <w:rFonts w:hint="eastAsia" w:ascii="宋体" w:hAnsi="宋体" w:eastAsia="宋体" w:cs="宋体"/>
          <w:b/>
          <w:bCs/>
          <w:color w:val="auto"/>
          <w:spacing w:val="0"/>
          <w:sz w:val="44"/>
          <w:szCs w:val="44"/>
          <w:lang w:val="en-US" w:eastAsia="zh-CN"/>
        </w:rPr>
        <w:t>修订</w:t>
      </w:r>
      <w:r>
        <w:rPr>
          <w:rFonts w:hint="eastAsia" w:ascii="宋体" w:hAnsi="宋体" w:eastAsia="宋体" w:cs="宋体"/>
          <w:b/>
          <w:bCs/>
          <w:color w:val="auto"/>
          <w:spacing w:val="0"/>
          <w:sz w:val="44"/>
          <w:szCs w:val="44"/>
          <w:lang w:eastAsia="zh-CN"/>
        </w:rPr>
        <w:t>）</w:t>
      </w:r>
      <w:r>
        <w:rPr>
          <w:rFonts w:hint="eastAsia" w:ascii="宋体" w:hAnsi="宋体" w:eastAsia="宋体" w:cs="宋体"/>
          <w:b/>
          <w:bCs/>
          <w:color w:val="auto"/>
          <w:spacing w:val="0"/>
          <w:sz w:val="44"/>
          <w:szCs w:val="44"/>
        </w:rPr>
        <w:t>》的通</w:t>
      </w:r>
      <w:r>
        <w:rPr>
          <w:rFonts w:hint="eastAsia" w:ascii="宋体" w:hAnsi="宋体" w:eastAsia="宋体" w:cs="宋体"/>
          <w:b/>
          <w:bCs/>
          <w:color w:val="auto"/>
          <w:spacing w:val="0"/>
          <w:sz w:val="44"/>
          <w:szCs w:val="44"/>
          <w:lang w:val="en-US" w:eastAsia="zh-CN"/>
        </w:rPr>
        <w:t xml:space="preserve"> </w:t>
      </w:r>
      <w:r>
        <w:rPr>
          <w:rFonts w:hint="eastAsia" w:ascii="宋体" w:hAnsi="宋体" w:eastAsia="宋体" w:cs="宋体"/>
          <w:b/>
          <w:bCs/>
          <w:color w:val="auto"/>
          <w:spacing w:val="0"/>
          <w:sz w:val="44"/>
          <w:szCs w:val="44"/>
        </w:rPr>
        <w:t>知</w:t>
      </w:r>
    </w:p>
    <w:p w14:paraId="442EF290">
      <w:pPr>
        <w:pStyle w:val="2"/>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b/>
          <w:bCs/>
          <w:color w:val="auto"/>
          <w:spacing w:val="0"/>
          <w:sz w:val="44"/>
          <w:szCs w:val="44"/>
        </w:rPr>
      </w:pPr>
    </w:p>
    <w:p w14:paraId="38DEE2A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b w:val="0"/>
          <w:bCs w:val="0"/>
          <w:color w:val="auto"/>
          <w:sz w:val="32"/>
          <w:szCs w:val="32"/>
        </w:rPr>
      </w:pPr>
      <w:r>
        <w:rPr>
          <w:rFonts w:hint="eastAsia" w:ascii="仿宋" w:hAnsi="仿宋" w:eastAsia="仿宋" w:cs="仿宋"/>
          <w:b w:val="0"/>
          <w:bCs w:val="0"/>
          <w:color w:val="auto"/>
          <w:sz w:val="32"/>
          <w:szCs w:val="32"/>
        </w:rPr>
        <w:t>全校各单位：</w:t>
      </w:r>
    </w:p>
    <w:p w14:paraId="28D4826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napToGrid w:val="0"/>
          <w:color w:val="000000"/>
          <w:kern w:val="0"/>
          <w:sz w:val="32"/>
          <w:szCs w:val="32"/>
          <w:lang w:val="en-US" w:eastAsia="zh-CN"/>
        </w:rPr>
      </w:pPr>
      <w:r>
        <w:rPr>
          <w:rFonts w:hint="eastAsia" w:ascii="仿宋_GB2312" w:hAnsi="仿宋_GB2312" w:eastAsia="仿宋_GB2312" w:cs="仿宋_GB2312"/>
          <w:snapToGrid w:val="0"/>
          <w:color w:val="000000"/>
          <w:kern w:val="0"/>
          <w:sz w:val="32"/>
          <w:szCs w:val="32"/>
          <w:lang w:val="en-US" w:eastAsia="zh-CN"/>
        </w:rPr>
        <w:t>为落实“人才强校”战略，建立一支师德高尚、业务精湛、结构合理、充满活力的高素质专业化教师队伍，结合学校实际，特制定</w:t>
      </w:r>
      <w:r>
        <w:rPr>
          <w:rFonts w:hint="eastAsia" w:ascii="仿宋_GB2312" w:hAnsi="仿宋_GB2312" w:eastAsia="仿宋_GB2312" w:cs="仿宋_GB2312"/>
          <w:snapToGrid w:val="0"/>
          <w:color w:val="000000"/>
          <w:kern w:val="0"/>
          <w:sz w:val="30"/>
          <w:szCs w:val="30"/>
          <w:lang w:val="en-US" w:eastAsia="zh-CN"/>
        </w:rPr>
        <w:t>《河北建筑工程学院高层次人才引进与管理办法（修订）》。</w:t>
      </w:r>
      <w:r>
        <w:rPr>
          <w:rFonts w:hint="eastAsia" w:ascii="仿宋_GB2312" w:hAnsi="仿宋_GB2312" w:eastAsia="仿宋_GB2312" w:cs="仿宋_GB2312"/>
          <w:sz w:val="32"/>
          <w:szCs w:val="32"/>
        </w:rPr>
        <w:t>现印发给你们</w:t>
      </w:r>
      <w:r>
        <w:rPr>
          <w:rFonts w:hint="eastAsia" w:ascii="仿宋_GB2312" w:hAnsi="仿宋_GB2312" w:eastAsia="仿宋_GB2312" w:cs="仿宋_GB2312"/>
          <w:sz w:val="32"/>
          <w:szCs w:val="32"/>
          <w:lang w:eastAsia="zh-CN"/>
        </w:rPr>
        <w:t>，请遵照执行</w:t>
      </w:r>
      <w:r>
        <w:rPr>
          <w:rFonts w:hint="eastAsia" w:ascii="仿宋_GB2312" w:hAnsi="仿宋_GB2312" w:eastAsia="仿宋_GB2312" w:cs="仿宋_GB2312"/>
          <w:snapToGrid w:val="0"/>
          <w:color w:val="000000"/>
          <w:kern w:val="0"/>
          <w:sz w:val="32"/>
          <w:szCs w:val="32"/>
          <w:lang w:val="en-US" w:eastAsia="zh-CN"/>
        </w:rPr>
        <w:t>。</w:t>
      </w:r>
    </w:p>
    <w:p w14:paraId="3C2CB2D7">
      <w:pPr>
        <w:pStyle w:val="2"/>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napToGrid w:val="0"/>
          <w:color w:val="000000"/>
          <w:kern w:val="0"/>
          <w:sz w:val="32"/>
          <w:szCs w:val="32"/>
          <w:lang w:val="en-US" w:eastAsia="zh-CN"/>
        </w:rPr>
      </w:pPr>
    </w:p>
    <w:p w14:paraId="565B0F4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附件：河北建筑工程学院高层次人才引进与管理办法（修订）</w:t>
      </w:r>
    </w:p>
    <w:p w14:paraId="07B54FC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14:paraId="256DA90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14:paraId="10BE14F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eastAsia="zh-CN"/>
        </w:rPr>
      </w:pPr>
    </w:p>
    <w:p w14:paraId="3B25FDF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本页无内容</w:t>
      </w:r>
      <w:r>
        <w:rPr>
          <w:rFonts w:hint="eastAsia" w:ascii="仿宋_GB2312" w:hAnsi="仿宋_GB2312" w:eastAsia="仿宋_GB2312" w:cs="仿宋_GB2312"/>
          <w:sz w:val="32"/>
          <w:szCs w:val="32"/>
          <w:lang w:eastAsia="zh-CN"/>
        </w:rPr>
        <w:t>）</w:t>
      </w:r>
    </w:p>
    <w:p w14:paraId="47E10A8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rPr>
      </w:pPr>
    </w:p>
    <w:p w14:paraId="611451D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color w:val="auto"/>
          <w:sz w:val="32"/>
          <w:szCs w:val="32"/>
        </w:rPr>
      </w:pPr>
    </w:p>
    <w:p w14:paraId="2168D457">
      <w:pPr>
        <w:pStyle w:val="2"/>
        <w:rPr>
          <w:rFonts w:hint="eastAsia"/>
        </w:rPr>
      </w:pPr>
    </w:p>
    <w:p w14:paraId="394B15EA">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right"/>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rPr>
        <w:t>202</w:t>
      </w:r>
      <w:r>
        <w:rPr>
          <w:rFonts w:hint="eastAsia" w:ascii="仿宋" w:hAnsi="仿宋" w:eastAsia="仿宋" w:cs="仿宋"/>
          <w:color w:val="auto"/>
          <w:sz w:val="32"/>
          <w:szCs w:val="32"/>
          <w:lang w:val="en-US" w:eastAsia="zh-CN"/>
        </w:rPr>
        <w:t>4</w:t>
      </w:r>
      <w:r>
        <w:rPr>
          <w:rFonts w:hint="eastAsia" w:ascii="仿宋" w:hAnsi="仿宋" w:eastAsia="仿宋" w:cs="仿宋"/>
          <w:color w:val="auto"/>
          <w:sz w:val="32"/>
          <w:szCs w:val="32"/>
        </w:rPr>
        <w:t>年</w:t>
      </w:r>
      <w:r>
        <w:rPr>
          <w:rFonts w:hint="eastAsia" w:ascii="仿宋" w:hAnsi="仿宋" w:eastAsia="仿宋" w:cs="仿宋"/>
          <w:color w:val="auto"/>
          <w:sz w:val="32"/>
          <w:szCs w:val="32"/>
          <w:lang w:val="en-US" w:eastAsia="zh-CN"/>
        </w:rPr>
        <w:t>11</w:t>
      </w:r>
      <w:r>
        <w:rPr>
          <w:rFonts w:hint="eastAsia" w:ascii="仿宋" w:hAnsi="仿宋" w:eastAsia="仿宋" w:cs="仿宋"/>
          <w:color w:val="auto"/>
          <w:sz w:val="32"/>
          <w:szCs w:val="32"/>
        </w:rPr>
        <w:t>月</w:t>
      </w:r>
      <w:r>
        <w:rPr>
          <w:rFonts w:hint="eastAsia" w:ascii="仿宋" w:hAnsi="仿宋" w:eastAsia="仿宋" w:cs="仿宋"/>
          <w:color w:val="auto"/>
          <w:sz w:val="32"/>
          <w:szCs w:val="32"/>
          <w:lang w:val="en-US" w:eastAsia="zh-CN"/>
        </w:rPr>
        <w:t>21</w:t>
      </w:r>
      <w:r>
        <w:rPr>
          <w:rFonts w:hint="eastAsia" w:ascii="仿宋" w:hAnsi="仿宋" w:eastAsia="仿宋" w:cs="仿宋"/>
          <w:color w:val="auto"/>
          <w:sz w:val="32"/>
          <w:szCs w:val="32"/>
        </w:rPr>
        <w:t>日</w:t>
      </w:r>
      <w:r>
        <w:rPr>
          <w:rFonts w:hint="eastAsia" w:ascii="仿宋" w:hAnsi="仿宋" w:eastAsia="仿宋" w:cs="仿宋"/>
          <w:color w:val="auto"/>
          <w:sz w:val="32"/>
          <w:szCs w:val="32"/>
          <w:lang w:val="en-US" w:eastAsia="zh-CN"/>
        </w:rPr>
        <w:t xml:space="preserve">  </w:t>
      </w:r>
    </w:p>
    <w:p w14:paraId="3E1324D5">
      <w:pPr>
        <w:pStyle w:val="2"/>
        <w:rPr>
          <w:rFonts w:hint="eastAsia" w:ascii="仿宋" w:hAnsi="仿宋" w:eastAsia="仿宋" w:cs="仿宋"/>
          <w:color w:val="auto"/>
          <w:sz w:val="32"/>
          <w:szCs w:val="32"/>
        </w:rPr>
      </w:pPr>
    </w:p>
    <w:p w14:paraId="57D8C89F">
      <w:pPr>
        <w:pStyle w:val="2"/>
        <w:rPr>
          <w:rFonts w:hint="eastAsia" w:ascii="仿宋" w:hAnsi="仿宋" w:eastAsia="仿宋" w:cs="仿宋"/>
          <w:color w:val="auto"/>
          <w:sz w:val="32"/>
          <w:szCs w:val="32"/>
        </w:rPr>
      </w:pPr>
    </w:p>
    <w:p w14:paraId="73775CB1">
      <w:pPr>
        <w:pStyle w:val="2"/>
        <w:ind w:left="0" w:leftChars="0" w:firstLine="0" w:firstLineChars="0"/>
        <w:rPr>
          <w:rFonts w:hint="eastAsia" w:ascii="仿宋" w:hAnsi="仿宋" w:eastAsia="仿宋" w:cs="仿宋"/>
          <w:color w:val="auto"/>
          <w:sz w:val="32"/>
          <w:szCs w:val="32"/>
        </w:rPr>
      </w:pPr>
    </w:p>
    <w:p w14:paraId="50B141F8">
      <w:pPr>
        <w:pStyle w:val="2"/>
        <w:rPr>
          <w:rFonts w:hint="eastAsia" w:ascii="仿宋" w:hAnsi="仿宋" w:eastAsia="仿宋" w:cs="仿宋"/>
          <w:color w:val="auto"/>
          <w:sz w:val="32"/>
          <w:szCs w:val="32"/>
        </w:rPr>
      </w:pPr>
    </w:p>
    <w:p w14:paraId="6AE2460B">
      <w:pPr>
        <w:pStyle w:val="2"/>
        <w:rPr>
          <w:rFonts w:hint="eastAsia" w:ascii="仿宋" w:hAnsi="仿宋" w:eastAsia="仿宋" w:cs="仿宋"/>
          <w:color w:val="auto"/>
          <w:sz w:val="32"/>
          <w:szCs w:val="32"/>
        </w:rPr>
      </w:pPr>
    </w:p>
    <w:p w14:paraId="2D3813E3">
      <w:pPr>
        <w:pStyle w:val="2"/>
        <w:rPr>
          <w:rFonts w:hint="eastAsia" w:ascii="仿宋" w:hAnsi="仿宋" w:eastAsia="仿宋" w:cs="仿宋"/>
          <w:color w:val="auto"/>
          <w:sz w:val="32"/>
          <w:szCs w:val="32"/>
        </w:rPr>
      </w:pPr>
    </w:p>
    <w:p w14:paraId="730DE4F1">
      <w:pPr>
        <w:pStyle w:val="2"/>
        <w:rPr>
          <w:rFonts w:hint="eastAsia" w:ascii="仿宋" w:hAnsi="仿宋" w:eastAsia="仿宋" w:cs="仿宋"/>
          <w:color w:val="auto"/>
          <w:sz w:val="32"/>
          <w:szCs w:val="32"/>
        </w:rPr>
      </w:pPr>
    </w:p>
    <w:p w14:paraId="1E20FE9F">
      <w:pPr>
        <w:pStyle w:val="2"/>
        <w:rPr>
          <w:rFonts w:hint="eastAsia" w:ascii="仿宋" w:hAnsi="仿宋" w:eastAsia="仿宋" w:cs="仿宋"/>
          <w:color w:val="auto"/>
          <w:sz w:val="32"/>
          <w:szCs w:val="32"/>
        </w:rPr>
      </w:pPr>
    </w:p>
    <w:p w14:paraId="4A48C23F">
      <w:pPr>
        <w:pStyle w:val="2"/>
        <w:rPr>
          <w:rFonts w:hint="eastAsia" w:ascii="仿宋" w:hAnsi="仿宋" w:eastAsia="仿宋" w:cs="仿宋"/>
          <w:color w:val="auto"/>
          <w:sz w:val="32"/>
          <w:szCs w:val="32"/>
        </w:rPr>
      </w:pPr>
    </w:p>
    <w:p w14:paraId="0C86A1FC">
      <w:pPr>
        <w:pStyle w:val="2"/>
        <w:rPr>
          <w:rFonts w:hint="eastAsia" w:ascii="仿宋" w:hAnsi="仿宋" w:eastAsia="仿宋" w:cs="仿宋"/>
          <w:color w:val="auto"/>
          <w:sz w:val="32"/>
          <w:szCs w:val="32"/>
        </w:rPr>
      </w:pPr>
    </w:p>
    <w:p w14:paraId="7E367F1E">
      <w:pPr>
        <w:pStyle w:val="2"/>
        <w:rPr>
          <w:rFonts w:hint="eastAsia" w:ascii="仿宋" w:hAnsi="仿宋" w:eastAsia="仿宋" w:cs="仿宋"/>
          <w:color w:val="auto"/>
          <w:sz w:val="32"/>
          <w:szCs w:val="32"/>
        </w:rPr>
      </w:pPr>
    </w:p>
    <w:p w14:paraId="370FC73A">
      <w:pPr>
        <w:pStyle w:val="2"/>
        <w:rPr>
          <w:rFonts w:hint="eastAsia" w:ascii="仿宋" w:hAnsi="仿宋" w:eastAsia="仿宋" w:cs="仿宋"/>
          <w:color w:val="auto"/>
          <w:sz w:val="32"/>
          <w:szCs w:val="32"/>
        </w:rPr>
      </w:pPr>
    </w:p>
    <w:p w14:paraId="5DBEEDC7">
      <w:pPr>
        <w:pStyle w:val="2"/>
        <w:rPr>
          <w:rFonts w:hint="eastAsia" w:ascii="仿宋" w:hAnsi="仿宋" w:eastAsia="仿宋" w:cs="仿宋"/>
          <w:color w:val="auto"/>
          <w:sz w:val="32"/>
          <w:szCs w:val="32"/>
        </w:rPr>
      </w:pPr>
    </w:p>
    <w:p w14:paraId="18790867">
      <w:pPr>
        <w:pStyle w:val="2"/>
        <w:keepNext w:val="0"/>
        <w:keepLines w:val="0"/>
        <w:pageBreakBefore w:val="0"/>
        <w:widowControl w:val="0"/>
        <w:kinsoku/>
        <w:wordWrap/>
        <w:overflowPunct/>
        <w:topLinePunct w:val="0"/>
        <w:autoSpaceDE/>
        <w:autoSpaceDN/>
        <w:bidi w:val="0"/>
        <w:adjustRightInd/>
        <w:snapToGrid/>
        <w:spacing w:line="100" w:lineRule="exact"/>
        <w:ind w:left="0" w:leftChars="0" w:firstLine="0" w:firstLineChars="0"/>
        <w:textAlignment w:val="auto"/>
        <w:rPr>
          <w:rFonts w:hint="eastAsia" w:ascii="仿宋" w:hAnsi="仿宋" w:eastAsia="仿宋" w:cs="仿宋"/>
          <w:color w:val="auto"/>
          <w:sz w:val="32"/>
          <w:szCs w:val="32"/>
        </w:rPr>
      </w:pPr>
    </w:p>
    <w:p w14:paraId="7F73AA9E">
      <w:pPr>
        <w:pStyle w:val="2"/>
        <w:keepNext w:val="0"/>
        <w:keepLines w:val="0"/>
        <w:pageBreakBefore w:val="0"/>
        <w:widowControl w:val="0"/>
        <w:kinsoku/>
        <w:wordWrap/>
        <w:overflowPunct/>
        <w:topLinePunct w:val="0"/>
        <w:autoSpaceDE/>
        <w:autoSpaceDN/>
        <w:bidi w:val="0"/>
        <w:adjustRightInd/>
        <w:snapToGrid/>
        <w:spacing w:after="625" w:afterLines="200" w:line="100" w:lineRule="exact"/>
        <w:ind w:left="0" w:leftChars="0" w:firstLine="0" w:firstLineChars="0"/>
        <w:textAlignment w:val="auto"/>
        <w:rPr>
          <w:rFonts w:hint="eastAsia"/>
        </w:rPr>
      </w:pPr>
    </w:p>
    <w:p w14:paraId="1407DC17">
      <w:pPr>
        <w:pStyle w:val="2"/>
        <w:keepNext w:val="0"/>
        <w:keepLines w:val="0"/>
        <w:pageBreakBefore w:val="0"/>
        <w:widowControl w:val="0"/>
        <w:kinsoku/>
        <w:wordWrap/>
        <w:overflowPunct/>
        <w:topLinePunct w:val="0"/>
        <w:autoSpaceDE/>
        <w:autoSpaceDN/>
        <w:bidi w:val="0"/>
        <w:adjustRightInd/>
        <w:snapToGrid/>
        <w:spacing w:after="625" w:afterLines="200" w:line="100" w:lineRule="exact"/>
        <w:ind w:left="0" w:leftChars="0" w:firstLine="0" w:firstLineChars="0"/>
        <w:textAlignment w:val="auto"/>
        <w:rPr>
          <w:rFonts w:hint="eastAsia"/>
        </w:rPr>
      </w:pPr>
    </w:p>
    <w:p w14:paraId="0CB10261">
      <w:pPr>
        <w:pStyle w:val="2"/>
        <w:keepNext w:val="0"/>
        <w:keepLines w:val="0"/>
        <w:pageBreakBefore w:val="0"/>
        <w:widowControl w:val="0"/>
        <w:kinsoku/>
        <w:wordWrap/>
        <w:overflowPunct/>
        <w:topLinePunct w:val="0"/>
        <w:autoSpaceDE/>
        <w:autoSpaceDN/>
        <w:bidi w:val="0"/>
        <w:adjustRightInd/>
        <w:snapToGrid/>
        <w:spacing w:after="625" w:afterLines="200" w:line="100" w:lineRule="exact"/>
        <w:ind w:left="0" w:leftChars="0" w:firstLine="0" w:firstLineChars="0"/>
        <w:textAlignment w:val="auto"/>
        <w:rPr>
          <w:rFonts w:hint="eastAsia"/>
        </w:rPr>
      </w:pPr>
    </w:p>
    <w:p w14:paraId="74FF1AF8">
      <w:pPr>
        <w:pStyle w:val="2"/>
        <w:keepNext w:val="0"/>
        <w:keepLines w:val="0"/>
        <w:pageBreakBefore w:val="0"/>
        <w:widowControl w:val="0"/>
        <w:kinsoku/>
        <w:wordWrap/>
        <w:overflowPunct/>
        <w:topLinePunct w:val="0"/>
        <w:autoSpaceDE/>
        <w:autoSpaceDN/>
        <w:bidi w:val="0"/>
        <w:adjustRightInd/>
        <w:snapToGrid/>
        <w:spacing w:line="100" w:lineRule="exact"/>
        <w:ind w:left="0" w:leftChars="0" w:firstLine="0" w:firstLineChars="0"/>
        <w:textAlignment w:val="auto"/>
        <w:rPr>
          <w:rFonts w:hint="eastAsia"/>
        </w:rPr>
      </w:pPr>
    </w:p>
    <w:p w14:paraId="3EC3714B">
      <w:pPr>
        <w:pBdr>
          <w:top w:val="single" w:color="auto" w:sz="4" w:space="1"/>
          <w:bottom w:val="single" w:color="auto" w:sz="4" w:space="1"/>
        </w:pBdr>
        <w:spacing w:line="400" w:lineRule="exact"/>
        <w:ind w:firstLine="140" w:firstLineChars="50"/>
        <w:rPr>
          <w:rFonts w:hint="eastAsia" w:ascii="黑体" w:hAnsi="黑体" w:eastAsia="黑体" w:cs="黑体"/>
          <w:color w:val="auto"/>
          <w:sz w:val="32"/>
          <w:szCs w:val="32"/>
          <w:shd w:val="clear" w:color="auto" w:fill="FFFFFF"/>
        </w:rPr>
      </w:pPr>
      <w:r>
        <w:rPr>
          <w:rFonts w:hint="eastAsia" w:ascii="仿宋_GB2312" w:eastAsia="仿宋_GB2312"/>
          <w:color w:val="auto"/>
          <w:sz w:val="28"/>
          <w:szCs w:val="28"/>
        </w:rPr>
        <w:t>河北建筑工程学院校长办公室</w:t>
      </w:r>
      <w:r>
        <w:rPr>
          <w:rFonts w:hint="eastAsia" w:ascii="仿宋_GB2312" w:hAnsi="仿宋" w:eastAsia="仿宋_GB2312"/>
          <w:color w:val="auto"/>
          <w:sz w:val="28"/>
          <w:szCs w:val="28"/>
        </w:rPr>
        <w:t xml:space="preserve">         </w:t>
      </w:r>
      <w:r>
        <w:rPr>
          <w:rFonts w:hint="eastAsia" w:ascii="仿宋_GB2312" w:hAnsi="仿宋" w:eastAsia="仿宋_GB2312"/>
          <w:color w:val="auto"/>
          <w:sz w:val="28"/>
          <w:szCs w:val="28"/>
          <w:lang w:val="en-US" w:eastAsia="zh-CN"/>
        </w:rPr>
        <w:t xml:space="preserve"> </w:t>
      </w:r>
      <w:r>
        <w:rPr>
          <w:rFonts w:hint="eastAsia" w:ascii="仿宋_GB2312" w:hAnsi="仿宋" w:eastAsia="仿宋_GB2312"/>
          <w:color w:val="auto"/>
          <w:sz w:val="28"/>
          <w:szCs w:val="28"/>
        </w:rPr>
        <w:t xml:space="preserve"> </w:t>
      </w:r>
      <w:r>
        <w:rPr>
          <w:rFonts w:hint="eastAsia" w:ascii="仿宋_GB2312" w:hAnsi="仿宋" w:eastAsia="仿宋_GB2312"/>
          <w:color w:val="0000FF"/>
          <w:sz w:val="28"/>
          <w:szCs w:val="28"/>
        </w:rPr>
        <w:t xml:space="preserve"> </w:t>
      </w:r>
      <w:r>
        <w:rPr>
          <w:rFonts w:hint="eastAsia" w:ascii="仿宋_GB2312" w:hAnsi="仿宋" w:eastAsia="仿宋_GB2312"/>
          <w:color w:val="auto"/>
          <w:sz w:val="28"/>
          <w:szCs w:val="28"/>
        </w:rPr>
        <w:t>202</w:t>
      </w:r>
      <w:r>
        <w:rPr>
          <w:rFonts w:hint="eastAsia" w:ascii="仿宋_GB2312" w:hAnsi="仿宋" w:eastAsia="仿宋_GB2312"/>
          <w:color w:val="auto"/>
          <w:sz w:val="28"/>
          <w:szCs w:val="28"/>
          <w:lang w:val="en-US" w:eastAsia="zh-CN"/>
        </w:rPr>
        <w:t>4</w:t>
      </w:r>
      <w:r>
        <w:rPr>
          <w:rFonts w:hint="eastAsia" w:ascii="仿宋_GB2312" w:hAnsi="仿宋" w:eastAsia="仿宋_GB2312"/>
          <w:color w:val="auto"/>
          <w:sz w:val="28"/>
          <w:szCs w:val="28"/>
        </w:rPr>
        <w:t>年</w:t>
      </w:r>
      <w:r>
        <w:rPr>
          <w:rFonts w:hint="eastAsia" w:ascii="仿宋_GB2312" w:hAnsi="仿宋" w:eastAsia="仿宋_GB2312"/>
          <w:color w:val="auto"/>
          <w:sz w:val="28"/>
          <w:szCs w:val="28"/>
          <w:lang w:val="en-US" w:eastAsia="zh-CN"/>
        </w:rPr>
        <w:t>11</w:t>
      </w:r>
      <w:r>
        <w:rPr>
          <w:rFonts w:hint="eastAsia" w:ascii="仿宋_GB2312" w:hAnsi="仿宋" w:eastAsia="仿宋_GB2312"/>
          <w:color w:val="auto"/>
          <w:sz w:val="28"/>
          <w:szCs w:val="28"/>
        </w:rPr>
        <w:t>月</w:t>
      </w:r>
      <w:r>
        <w:rPr>
          <w:rFonts w:hint="eastAsia" w:ascii="仿宋_GB2312" w:hAnsi="仿宋" w:eastAsia="仿宋_GB2312"/>
          <w:color w:val="auto"/>
          <w:sz w:val="28"/>
          <w:szCs w:val="28"/>
          <w:lang w:val="en-US" w:eastAsia="zh-CN"/>
        </w:rPr>
        <w:t>21</w:t>
      </w:r>
      <w:r>
        <w:rPr>
          <w:rFonts w:hint="eastAsia" w:ascii="仿宋_GB2312" w:hAnsi="仿宋" w:eastAsia="仿宋_GB2312"/>
          <w:color w:val="auto"/>
          <w:sz w:val="28"/>
          <w:szCs w:val="28"/>
        </w:rPr>
        <w:t>日印发</w:t>
      </w:r>
    </w:p>
    <w:p w14:paraId="5FAD7EEF">
      <w:pPr>
        <w:keepNext w:val="0"/>
        <w:keepLines w:val="0"/>
        <w:pageBreakBefore w:val="0"/>
        <w:wordWrap/>
        <w:overflowPunct/>
        <w:topLinePunct w:val="0"/>
        <w:bidi w:val="0"/>
        <w:spacing w:line="580" w:lineRule="exact"/>
        <w:jc w:val="left"/>
        <w:rPr>
          <w:rFonts w:hint="eastAsia" w:ascii="黑体" w:hAnsi="黑体" w:eastAsia="黑体" w:cs="黑体"/>
          <w:sz w:val="32"/>
          <w:szCs w:val="32"/>
          <w:lang w:eastAsia="zh-CN"/>
        </w:rPr>
      </w:pPr>
      <w:r>
        <w:rPr>
          <w:rFonts w:hint="eastAsia" w:ascii="黑体" w:hAnsi="黑体" w:eastAsia="黑体" w:cs="黑体"/>
          <w:sz w:val="32"/>
          <w:szCs w:val="32"/>
        </w:rPr>
        <w:t>附件</w:t>
      </w:r>
    </w:p>
    <w:p w14:paraId="6853716A">
      <w:pPr>
        <w:pStyle w:val="2"/>
        <w:keepNext w:val="0"/>
        <w:keepLines w:val="0"/>
        <w:pageBreakBefore w:val="0"/>
        <w:widowControl w:val="0"/>
        <w:kinsoku/>
        <w:wordWrap/>
        <w:overflowPunct/>
        <w:topLinePunct w:val="0"/>
        <w:autoSpaceDE/>
        <w:autoSpaceDN/>
        <w:bidi w:val="0"/>
        <w:adjustRightInd/>
        <w:snapToGrid/>
        <w:spacing w:line="620" w:lineRule="exact"/>
        <w:textAlignment w:val="auto"/>
      </w:pPr>
    </w:p>
    <w:p w14:paraId="0C763960">
      <w:pPr>
        <w:keepNext w:val="0"/>
        <w:keepLines w:val="0"/>
        <w:pageBreakBefore w:val="0"/>
        <w:widowControl/>
        <w:kinsoku/>
        <w:wordWrap/>
        <w:overflowPunct/>
        <w:topLinePunct w:val="0"/>
        <w:autoSpaceDE/>
        <w:autoSpaceDN/>
        <w:bidi w:val="0"/>
        <w:adjustRightInd/>
        <w:snapToGrid/>
        <w:spacing w:after="161" w:afterLines="50" w:line="620" w:lineRule="exact"/>
        <w:jc w:val="center"/>
        <w:textAlignment w:val="auto"/>
        <w:rPr>
          <w:rFonts w:hint="eastAsia" w:ascii="宋体" w:hAnsi="宋体" w:eastAsia="宋体" w:cs="宋体"/>
          <w:b/>
          <w:bCs/>
          <w:kern w:val="0"/>
          <w:sz w:val="44"/>
          <w:szCs w:val="44"/>
        </w:rPr>
      </w:pPr>
      <w:r>
        <w:rPr>
          <w:rFonts w:hint="eastAsia" w:ascii="宋体" w:hAnsi="宋体" w:eastAsia="宋体" w:cs="宋体"/>
          <w:b/>
          <w:bCs/>
          <w:kern w:val="0"/>
          <w:sz w:val="44"/>
          <w:szCs w:val="44"/>
          <w:lang w:val="en-US" w:eastAsia="zh-CN"/>
        </w:rPr>
        <w:t>河北建筑工程学院</w:t>
      </w:r>
      <w:r>
        <w:rPr>
          <w:rFonts w:hint="eastAsia" w:ascii="宋体" w:hAnsi="宋体" w:eastAsia="宋体" w:cs="宋体"/>
          <w:b/>
          <w:bCs/>
          <w:kern w:val="0"/>
          <w:sz w:val="44"/>
          <w:szCs w:val="44"/>
        </w:rPr>
        <w:t>高层次人才</w:t>
      </w:r>
    </w:p>
    <w:p w14:paraId="39936EE7">
      <w:pPr>
        <w:keepNext w:val="0"/>
        <w:keepLines w:val="0"/>
        <w:pageBreakBefore w:val="0"/>
        <w:widowControl/>
        <w:kinsoku/>
        <w:wordWrap/>
        <w:overflowPunct/>
        <w:topLinePunct w:val="0"/>
        <w:autoSpaceDE/>
        <w:autoSpaceDN/>
        <w:bidi w:val="0"/>
        <w:adjustRightInd/>
        <w:snapToGrid/>
        <w:spacing w:after="161" w:afterLines="50" w:line="620" w:lineRule="exact"/>
        <w:jc w:val="center"/>
        <w:textAlignment w:val="auto"/>
        <w:rPr>
          <w:rFonts w:hint="eastAsia" w:ascii="宋体" w:hAnsi="宋体" w:eastAsia="宋体" w:cs="宋体"/>
          <w:b/>
          <w:bCs/>
          <w:color w:val="auto"/>
          <w:spacing w:val="0"/>
          <w:sz w:val="44"/>
          <w:szCs w:val="44"/>
          <w:lang w:eastAsia="zh-CN"/>
        </w:rPr>
      </w:pPr>
      <w:r>
        <w:rPr>
          <w:rFonts w:hint="eastAsia" w:ascii="宋体" w:hAnsi="宋体" w:eastAsia="宋体" w:cs="宋体"/>
          <w:b/>
          <w:bCs/>
          <w:kern w:val="0"/>
          <w:sz w:val="44"/>
          <w:szCs w:val="44"/>
        </w:rPr>
        <w:t>引进与管理办法</w:t>
      </w:r>
      <w:r>
        <w:rPr>
          <w:rFonts w:hint="eastAsia" w:ascii="宋体" w:hAnsi="宋体" w:eastAsia="宋体" w:cs="宋体"/>
          <w:b/>
          <w:bCs/>
          <w:color w:val="auto"/>
          <w:spacing w:val="0"/>
          <w:sz w:val="44"/>
          <w:szCs w:val="44"/>
          <w:lang w:eastAsia="zh-CN"/>
        </w:rPr>
        <w:t>（</w:t>
      </w:r>
      <w:r>
        <w:rPr>
          <w:rFonts w:hint="eastAsia" w:ascii="宋体" w:hAnsi="宋体" w:eastAsia="宋体" w:cs="宋体"/>
          <w:b/>
          <w:bCs/>
          <w:color w:val="auto"/>
          <w:spacing w:val="0"/>
          <w:sz w:val="44"/>
          <w:szCs w:val="44"/>
          <w:lang w:val="en-US" w:eastAsia="zh-CN"/>
        </w:rPr>
        <w:t>修订</w:t>
      </w:r>
      <w:r>
        <w:rPr>
          <w:rFonts w:hint="eastAsia" w:ascii="宋体" w:hAnsi="宋体" w:eastAsia="宋体" w:cs="宋体"/>
          <w:b/>
          <w:bCs/>
          <w:color w:val="auto"/>
          <w:spacing w:val="0"/>
          <w:sz w:val="44"/>
          <w:szCs w:val="44"/>
          <w:lang w:eastAsia="zh-CN"/>
        </w:rPr>
        <w:t>）</w:t>
      </w:r>
    </w:p>
    <w:p w14:paraId="1614FFB1">
      <w:pPr>
        <w:pStyle w:val="2"/>
        <w:rPr>
          <w:rFonts w:hint="eastAsia"/>
          <w:lang w:eastAsia="zh-CN"/>
        </w:rPr>
      </w:pPr>
    </w:p>
    <w:p w14:paraId="2C164F83">
      <w:pPr>
        <w:pStyle w:val="3"/>
        <w:keepNext w:val="0"/>
        <w:keepLines w:val="0"/>
        <w:pageBreakBefore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为落实“人才强校”战略，增强学校特色学科实力，吸引更多高层次优秀人才来学校工作，带动学科建设，促进教学、科研水平不断提高，建立一支</w:t>
      </w:r>
      <w:r>
        <w:rPr>
          <w:rFonts w:hint="eastAsia" w:ascii="仿宋" w:hAnsi="仿宋" w:eastAsia="仿宋" w:cs="仿宋"/>
          <w:kern w:val="0"/>
          <w:sz w:val="32"/>
          <w:szCs w:val="32"/>
          <w:lang w:val="en-US" w:eastAsia="zh-CN"/>
        </w:rPr>
        <w:t>师德高尚、业务精湛、结构合理、充满活力的高素质专业化教师队伍，</w:t>
      </w:r>
      <w:r>
        <w:rPr>
          <w:rFonts w:hint="eastAsia" w:ascii="仿宋" w:hAnsi="仿宋" w:eastAsia="仿宋" w:cs="仿宋"/>
          <w:kern w:val="0"/>
          <w:sz w:val="32"/>
          <w:szCs w:val="32"/>
        </w:rPr>
        <w:t>结合我校实际，制定本办法。</w:t>
      </w:r>
    </w:p>
    <w:p w14:paraId="4D39900C">
      <w:pPr>
        <w:keepNext w:val="0"/>
        <w:keepLines w:val="0"/>
        <w:pageBreakBefore w:val="0"/>
        <w:widowControl/>
        <w:shd w:val="clear" w:color="auto" w:fill="FFFFFF"/>
        <w:kinsoku/>
        <w:wordWrap/>
        <w:overflowPunct/>
        <w:topLinePunct w:val="0"/>
        <w:autoSpaceDE/>
        <w:autoSpaceDN/>
        <w:bidi w:val="0"/>
        <w:adjustRightInd/>
        <w:snapToGrid/>
        <w:spacing w:line="620" w:lineRule="exact"/>
        <w:ind w:firstLine="640" w:firstLineChars="200"/>
        <w:jc w:val="center"/>
        <w:textAlignment w:val="auto"/>
        <w:rPr>
          <w:rFonts w:hint="eastAsia" w:ascii="黑体" w:hAnsi="黑体" w:eastAsia="黑体" w:cs="黑体"/>
          <w:b w:val="0"/>
          <w:bCs w:val="0"/>
          <w:kern w:val="0"/>
          <w:sz w:val="32"/>
          <w:szCs w:val="32"/>
        </w:rPr>
      </w:pPr>
      <w:r>
        <w:rPr>
          <w:rFonts w:hint="eastAsia" w:ascii="黑体" w:hAnsi="黑体" w:eastAsia="黑体" w:cs="黑体"/>
          <w:b w:val="0"/>
          <w:bCs w:val="0"/>
          <w:kern w:val="0"/>
          <w:sz w:val="32"/>
          <w:szCs w:val="32"/>
        </w:rPr>
        <w:t>第一条</w:t>
      </w:r>
      <w:r>
        <w:rPr>
          <w:rFonts w:hint="eastAsia" w:ascii="黑体" w:hAnsi="黑体" w:eastAsia="黑体" w:cs="黑体"/>
          <w:b w:val="0"/>
          <w:bCs w:val="0"/>
          <w:kern w:val="0"/>
          <w:sz w:val="32"/>
          <w:szCs w:val="32"/>
          <w:lang w:val="en-US" w:eastAsia="zh-CN"/>
        </w:rPr>
        <w:t xml:space="preserve">  </w:t>
      </w:r>
      <w:r>
        <w:rPr>
          <w:rFonts w:hint="eastAsia" w:ascii="黑体" w:hAnsi="黑体" w:eastAsia="黑体" w:cs="黑体"/>
          <w:b w:val="0"/>
          <w:bCs w:val="0"/>
          <w:kern w:val="0"/>
          <w:sz w:val="32"/>
          <w:szCs w:val="32"/>
        </w:rPr>
        <w:t>基本原则</w:t>
      </w:r>
    </w:p>
    <w:p w14:paraId="12FEC637">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1.注重学术，德才并重。既要注重引进高层次人才的学历学位职称，更要注重学术水平、科研成果和业务能力，必须热爱高等教育事业，善于团结协作，具有良好的敬业精神、团队精神和职业道德。</w:t>
      </w:r>
    </w:p>
    <w:p w14:paraId="0073D500">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2.引进人才要坚持“按需引进、高端引领、注重实效”的原则，坚持“公开、公平、公正”的原则，坚持“严格考核、择优聘用、确保质量”的原则。转变观念，创新机制，重点引进学校优势特色学科急需的人才。</w:t>
      </w:r>
    </w:p>
    <w:p w14:paraId="7622B7DB">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3.特事特办，统筹实施。针对人才引进和使用的特点，采取成熟一个引进一个的措施和政策，鼓励团队引进。各相关单位各负其责，形成协调有力，办事高效的引进机制。</w:t>
      </w:r>
    </w:p>
    <w:p w14:paraId="1FA031EE">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4.明确任务、强化责任。对引进的人才</w:t>
      </w:r>
      <w:r>
        <w:rPr>
          <w:rFonts w:hint="eastAsia" w:cs="仿宋"/>
          <w:kern w:val="0"/>
          <w:sz w:val="32"/>
          <w:szCs w:val="32"/>
          <w:lang w:eastAsia="zh-CN"/>
        </w:rPr>
        <w:t>，</w:t>
      </w:r>
      <w:r>
        <w:rPr>
          <w:rFonts w:hint="eastAsia" w:ascii="仿宋" w:hAnsi="仿宋" w:eastAsia="仿宋" w:cs="仿宋"/>
          <w:kern w:val="0"/>
          <w:sz w:val="32"/>
          <w:szCs w:val="32"/>
        </w:rPr>
        <w:t>要明确工作任务、聘任期限、聘期待遇、考核标准、违约责任、解聘等，同时实行目标任务管理，充分发挥人才的示范带头作用。</w:t>
      </w:r>
    </w:p>
    <w:p w14:paraId="1CCA5A33">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5.本办法中引进的人才分为全职引进和柔性引进两种类型。柔性引进的人才坚持“立足高端，以用为本”的原则，允许以合作科研、带项目进校、定期讲学、编制外聘用等灵活方式，主要对象是达到本办法</w:t>
      </w:r>
      <w:r>
        <w:rPr>
          <w:rFonts w:hint="eastAsia" w:ascii="仿宋" w:hAnsi="仿宋" w:eastAsia="仿宋" w:cs="仿宋"/>
          <w:kern w:val="0"/>
          <w:sz w:val="32"/>
          <w:szCs w:val="32"/>
          <w:lang w:val="en-US" w:eastAsia="zh-CN"/>
        </w:rPr>
        <w:t>第一</w:t>
      </w:r>
      <w:r>
        <w:rPr>
          <w:rFonts w:hint="eastAsia" w:ascii="仿宋" w:hAnsi="仿宋" w:eastAsia="仿宋" w:cs="仿宋"/>
          <w:kern w:val="0"/>
          <w:sz w:val="32"/>
          <w:szCs w:val="32"/>
        </w:rPr>
        <w:t>层的人才，纳入非事业编制管理，有关柔性引进方式及待遇通过协商并按签订协议执行。全职引进人才纳入单位事业编制管理。</w:t>
      </w:r>
    </w:p>
    <w:p w14:paraId="36FE1B6E">
      <w:pPr>
        <w:keepNext w:val="0"/>
        <w:keepLines w:val="0"/>
        <w:pageBreakBefore w:val="0"/>
        <w:widowControl/>
        <w:shd w:val="clear" w:color="auto" w:fill="FFFFFF"/>
        <w:kinsoku/>
        <w:wordWrap/>
        <w:overflowPunct/>
        <w:topLinePunct w:val="0"/>
        <w:autoSpaceDE/>
        <w:autoSpaceDN/>
        <w:bidi w:val="0"/>
        <w:adjustRightInd/>
        <w:snapToGrid/>
        <w:spacing w:line="620" w:lineRule="exact"/>
        <w:ind w:firstLine="640" w:firstLineChars="200"/>
        <w:jc w:val="center"/>
        <w:textAlignment w:val="auto"/>
        <w:rPr>
          <w:rFonts w:hint="eastAsia" w:ascii="黑体" w:hAnsi="黑体" w:eastAsia="黑体" w:cs="黑体"/>
          <w:b w:val="0"/>
          <w:bCs w:val="0"/>
          <w:kern w:val="0"/>
          <w:sz w:val="32"/>
          <w:szCs w:val="32"/>
        </w:rPr>
      </w:pPr>
      <w:r>
        <w:rPr>
          <w:rFonts w:hint="eastAsia" w:ascii="黑体" w:hAnsi="黑体" w:eastAsia="黑体" w:cs="黑体"/>
          <w:b w:val="0"/>
          <w:bCs w:val="0"/>
          <w:kern w:val="0"/>
          <w:sz w:val="32"/>
          <w:szCs w:val="32"/>
        </w:rPr>
        <w:t xml:space="preserve">第二条 </w:t>
      </w:r>
      <w:r>
        <w:rPr>
          <w:rFonts w:hint="eastAsia" w:ascii="黑体" w:hAnsi="黑体" w:eastAsia="黑体" w:cs="黑体"/>
          <w:b w:val="0"/>
          <w:bCs w:val="0"/>
          <w:kern w:val="0"/>
          <w:sz w:val="32"/>
          <w:szCs w:val="32"/>
          <w:lang w:val="en-US" w:eastAsia="zh-CN"/>
        </w:rPr>
        <w:t xml:space="preserve"> </w:t>
      </w:r>
      <w:r>
        <w:rPr>
          <w:rFonts w:hint="eastAsia" w:ascii="黑体" w:hAnsi="黑体" w:eastAsia="黑体" w:cs="黑体"/>
          <w:b w:val="0"/>
          <w:bCs w:val="0"/>
          <w:kern w:val="0"/>
          <w:sz w:val="32"/>
          <w:szCs w:val="32"/>
        </w:rPr>
        <w:t>职责分工</w:t>
      </w:r>
    </w:p>
    <w:p w14:paraId="7C7FDDA7">
      <w:pPr>
        <w:pStyle w:val="3"/>
        <w:keepNext w:val="0"/>
        <w:keepLines w:val="0"/>
        <w:pageBreakBefore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人事处负责拟订学校人才引进工作的政策、制度、规划并监督落实，对各学院（系、部）人才引进工作提供服务；各学院（系、部）是人才引进的主责单位，承担人才引进的主体责任，负责本单位人才引进计划的落实、拟引进人才的考察；学校其他职能部门负责为引进各类人才提供高效、到位的管理与服务。</w:t>
      </w:r>
    </w:p>
    <w:p w14:paraId="6C4E5837">
      <w:pPr>
        <w:keepNext w:val="0"/>
        <w:keepLines w:val="0"/>
        <w:pageBreakBefore w:val="0"/>
        <w:widowControl/>
        <w:shd w:val="clear" w:color="auto" w:fill="FFFFFF"/>
        <w:kinsoku/>
        <w:wordWrap/>
        <w:overflowPunct/>
        <w:topLinePunct w:val="0"/>
        <w:autoSpaceDE/>
        <w:autoSpaceDN/>
        <w:bidi w:val="0"/>
        <w:adjustRightInd/>
        <w:snapToGrid/>
        <w:spacing w:line="620" w:lineRule="exact"/>
        <w:ind w:firstLine="640" w:firstLineChars="200"/>
        <w:jc w:val="center"/>
        <w:textAlignment w:val="auto"/>
        <w:rPr>
          <w:rFonts w:hint="eastAsia" w:ascii="黑体" w:hAnsi="黑体" w:eastAsia="黑体" w:cs="黑体"/>
          <w:b w:val="0"/>
          <w:bCs w:val="0"/>
          <w:kern w:val="0"/>
          <w:sz w:val="32"/>
          <w:szCs w:val="32"/>
        </w:rPr>
      </w:pPr>
      <w:r>
        <w:rPr>
          <w:rFonts w:hint="eastAsia" w:ascii="黑体" w:hAnsi="黑体" w:eastAsia="黑体" w:cs="黑体"/>
          <w:b w:val="0"/>
          <w:bCs w:val="0"/>
          <w:kern w:val="0"/>
          <w:sz w:val="32"/>
          <w:szCs w:val="32"/>
        </w:rPr>
        <w:t xml:space="preserve">第三条 </w:t>
      </w:r>
      <w:r>
        <w:rPr>
          <w:rFonts w:hint="eastAsia" w:ascii="黑体" w:hAnsi="黑体" w:eastAsia="黑体" w:cs="黑体"/>
          <w:b w:val="0"/>
          <w:bCs w:val="0"/>
          <w:kern w:val="0"/>
          <w:sz w:val="32"/>
          <w:szCs w:val="32"/>
          <w:lang w:val="en-US" w:eastAsia="zh-CN"/>
        </w:rPr>
        <w:t xml:space="preserve"> </w:t>
      </w:r>
      <w:r>
        <w:rPr>
          <w:rFonts w:hint="eastAsia" w:ascii="黑体" w:hAnsi="黑体" w:eastAsia="黑体" w:cs="黑体"/>
          <w:b w:val="0"/>
          <w:bCs w:val="0"/>
          <w:kern w:val="0"/>
          <w:sz w:val="32"/>
          <w:szCs w:val="32"/>
        </w:rPr>
        <w:t>人才引进条件和待遇</w:t>
      </w:r>
    </w:p>
    <w:p w14:paraId="75599448">
      <w:pPr>
        <w:pStyle w:val="3"/>
        <w:keepNext w:val="0"/>
        <w:keepLines w:val="0"/>
        <w:pageBreakBefore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引进人才应具有博士学位，且具备良好的政治素养和职业道德、精湛的学术造诣、能胜任教学、科研等岗位所要求的工作，有较强的团队合作精神、为人正派、遵纪守法、身心健康。人才引进</w:t>
      </w:r>
      <w:r>
        <w:rPr>
          <w:rFonts w:hint="eastAsia" w:cs="仿宋"/>
          <w:kern w:val="0"/>
          <w:sz w:val="32"/>
          <w:szCs w:val="32"/>
          <w:lang w:eastAsia="zh-CN"/>
        </w:rPr>
        <w:t>分两个</w:t>
      </w:r>
      <w:r>
        <w:rPr>
          <w:rFonts w:hint="eastAsia" w:ascii="仿宋" w:hAnsi="仿宋" w:eastAsia="仿宋" w:cs="仿宋"/>
          <w:kern w:val="0"/>
          <w:sz w:val="32"/>
          <w:szCs w:val="32"/>
        </w:rPr>
        <w:t>层次，各层次条件和待遇见</w:t>
      </w:r>
      <w:r>
        <w:rPr>
          <w:rFonts w:hint="eastAsia" w:ascii="仿宋" w:hAnsi="仿宋" w:eastAsia="仿宋" w:cs="仿宋"/>
          <w:kern w:val="0"/>
          <w:sz w:val="32"/>
          <w:szCs w:val="32"/>
          <w:lang w:eastAsia="zh-CN"/>
        </w:rPr>
        <w:t>下表</w:t>
      </w:r>
      <w:r>
        <w:rPr>
          <w:rFonts w:hint="eastAsia" w:ascii="仿宋" w:hAnsi="仿宋" w:eastAsia="仿宋" w:cs="仿宋"/>
          <w:kern w:val="0"/>
          <w:sz w:val="32"/>
          <w:szCs w:val="32"/>
        </w:rPr>
        <w:t>。</w:t>
      </w:r>
    </w:p>
    <w:p w14:paraId="7E2041D6">
      <w:pPr>
        <w:pStyle w:val="3"/>
        <w:keepNext w:val="0"/>
        <w:keepLines w:val="0"/>
        <w:pageBreakBefore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p>
    <w:tbl>
      <w:tblPr>
        <w:tblStyle w:val="5"/>
        <w:tblW w:w="102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5"/>
        <w:gridCol w:w="2655"/>
        <w:gridCol w:w="675"/>
        <w:gridCol w:w="4230"/>
        <w:gridCol w:w="1965"/>
      </w:tblGrid>
      <w:tr w14:paraId="50E3D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0" w:hRule="atLeast"/>
          <w:jc w:val="center"/>
        </w:trPr>
        <w:tc>
          <w:tcPr>
            <w:tcW w:w="765" w:type="dxa"/>
            <w:tcBorders>
              <w:top w:val="single" w:color="000000" w:sz="4" w:space="0"/>
              <w:left w:val="single" w:color="000000" w:sz="4" w:space="0"/>
              <w:bottom w:val="single" w:color="000000" w:sz="4" w:space="0"/>
              <w:right w:val="single" w:color="000000" w:sz="4" w:space="0"/>
            </w:tcBorders>
            <w:noWrap w:val="0"/>
            <w:vAlign w:val="center"/>
          </w:tcPr>
          <w:p w14:paraId="76F441F5">
            <w:pPr>
              <w:keepNext w:val="0"/>
              <w:keepLines w:val="0"/>
              <w:widowControl/>
              <w:suppressLineNumbers w:val="0"/>
              <w:jc w:val="center"/>
              <w:textAlignment w:val="center"/>
              <w:rPr>
                <w:rFonts w:ascii="仿宋" w:hAnsi="仿宋" w:eastAsia="仿宋" w:cs="仿宋"/>
                <w:b/>
                <w:bCs/>
                <w:i w:val="0"/>
                <w:iCs w:val="0"/>
                <w:color w:val="333333"/>
                <w:sz w:val="24"/>
                <w:szCs w:val="24"/>
                <w:u w:val="none"/>
              </w:rPr>
            </w:pPr>
            <w:r>
              <w:rPr>
                <w:rFonts w:hint="eastAsia" w:ascii="仿宋" w:hAnsi="仿宋" w:eastAsia="仿宋" w:cs="仿宋"/>
                <w:b/>
                <w:bCs/>
                <w:i w:val="0"/>
                <w:iCs w:val="0"/>
                <w:color w:val="333333"/>
                <w:kern w:val="0"/>
                <w:sz w:val="24"/>
                <w:szCs w:val="24"/>
                <w:u w:val="none"/>
                <w:lang w:val="en-US" w:eastAsia="zh-CN" w:bidi="ar"/>
              </w:rPr>
              <w:t>人才层次</w:t>
            </w:r>
          </w:p>
        </w:tc>
        <w:tc>
          <w:tcPr>
            <w:tcW w:w="2655" w:type="dxa"/>
            <w:tcBorders>
              <w:top w:val="single" w:color="000000" w:sz="4" w:space="0"/>
              <w:left w:val="single" w:color="000000" w:sz="4" w:space="0"/>
              <w:bottom w:val="single" w:color="000000" w:sz="4" w:space="0"/>
              <w:right w:val="single" w:color="000000" w:sz="4" w:space="0"/>
            </w:tcBorders>
            <w:noWrap w:val="0"/>
            <w:vAlign w:val="center"/>
          </w:tcPr>
          <w:p w14:paraId="6F53ACC7">
            <w:pPr>
              <w:keepNext w:val="0"/>
              <w:keepLines w:val="0"/>
              <w:widowControl/>
              <w:suppressLineNumbers w:val="0"/>
              <w:jc w:val="center"/>
              <w:textAlignment w:val="center"/>
              <w:rPr>
                <w:rFonts w:hint="eastAsia" w:ascii="仿宋" w:hAnsi="仿宋" w:eastAsia="仿宋" w:cs="仿宋"/>
                <w:b/>
                <w:bCs/>
                <w:i w:val="0"/>
                <w:iCs w:val="0"/>
                <w:color w:val="333333"/>
                <w:sz w:val="24"/>
                <w:szCs w:val="24"/>
                <w:u w:val="none"/>
              </w:rPr>
            </w:pPr>
            <w:r>
              <w:rPr>
                <w:rFonts w:hint="eastAsia" w:ascii="仿宋" w:hAnsi="仿宋" w:eastAsia="仿宋" w:cs="仿宋"/>
                <w:b/>
                <w:bCs/>
                <w:i w:val="0"/>
                <w:iCs w:val="0"/>
                <w:color w:val="333333"/>
                <w:kern w:val="0"/>
                <w:sz w:val="24"/>
                <w:szCs w:val="24"/>
                <w:u w:val="none"/>
                <w:lang w:val="en-US" w:eastAsia="zh-CN" w:bidi="ar"/>
              </w:rPr>
              <w:t>引进条件</w:t>
            </w:r>
          </w:p>
        </w:tc>
        <w:tc>
          <w:tcPr>
            <w:tcW w:w="6870" w:type="dxa"/>
            <w:gridSpan w:val="3"/>
            <w:tcBorders>
              <w:top w:val="single" w:color="000000" w:sz="4" w:space="0"/>
              <w:left w:val="single" w:color="000000" w:sz="4" w:space="0"/>
              <w:bottom w:val="single" w:color="000000" w:sz="4" w:space="0"/>
              <w:right w:val="single" w:color="000000" w:sz="4" w:space="0"/>
            </w:tcBorders>
            <w:noWrap w:val="0"/>
            <w:vAlign w:val="center"/>
          </w:tcPr>
          <w:p w14:paraId="505CCE3E">
            <w:pPr>
              <w:keepNext w:val="0"/>
              <w:keepLines w:val="0"/>
              <w:widowControl/>
              <w:suppressLineNumbers w:val="0"/>
              <w:jc w:val="center"/>
              <w:textAlignment w:val="center"/>
              <w:rPr>
                <w:rFonts w:hint="eastAsia" w:ascii="仿宋" w:hAnsi="仿宋" w:eastAsia="仿宋" w:cs="仿宋"/>
                <w:b/>
                <w:bCs/>
                <w:i w:val="0"/>
                <w:iCs w:val="0"/>
                <w:color w:val="333333"/>
                <w:sz w:val="24"/>
                <w:szCs w:val="24"/>
                <w:u w:val="none"/>
              </w:rPr>
            </w:pPr>
            <w:r>
              <w:rPr>
                <w:rFonts w:hint="eastAsia" w:ascii="仿宋" w:hAnsi="仿宋" w:eastAsia="仿宋" w:cs="仿宋"/>
                <w:b/>
                <w:bCs/>
                <w:i w:val="0"/>
                <w:iCs w:val="0"/>
                <w:color w:val="333333"/>
                <w:kern w:val="0"/>
                <w:sz w:val="24"/>
                <w:szCs w:val="24"/>
                <w:u w:val="none"/>
                <w:lang w:val="en-US" w:eastAsia="zh-CN" w:bidi="ar"/>
              </w:rPr>
              <w:t>引进待遇</w:t>
            </w:r>
          </w:p>
        </w:tc>
      </w:tr>
      <w:tr w14:paraId="2D7E9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40" w:hRule="atLeast"/>
          <w:jc w:val="center"/>
        </w:trPr>
        <w:tc>
          <w:tcPr>
            <w:tcW w:w="765" w:type="dxa"/>
            <w:tcBorders>
              <w:top w:val="single" w:color="000000" w:sz="4" w:space="0"/>
              <w:left w:val="single" w:color="000000" w:sz="4" w:space="0"/>
              <w:bottom w:val="single" w:color="000000" w:sz="4" w:space="0"/>
              <w:right w:val="single" w:color="000000" w:sz="4" w:space="0"/>
            </w:tcBorders>
            <w:noWrap w:val="0"/>
            <w:vAlign w:val="center"/>
          </w:tcPr>
          <w:p w14:paraId="7C91499E">
            <w:pPr>
              <w:keepNext w:val="0"/>
              <w:keepLines w:val="0"/>
              <w:widowControl/>
              <w:suppressLineNumbers w:val="0"/>
              <w:jc w:val="center"/>
              <w:textAlignment w:val="center"/>
              <w:rPr>
                <w:rFonts w:hint="eastAsia" w:ascii="仿宋" w:hAnsi="仿宋" w:eastAsia="仿宋" w:cs="仿宋"/>
                <w:b/>
                <w:bCs/>
                <w:i w:val="0"/>
                <w:iCs w:val="0"/>
                <w:color w:val="333333"/>
                <w:sz w:val="24"/>
                <w:szCs w:val="24"/>
                <w:u w:val="none"/>
              </w:rPr>
            </w:pPr>
            <w:r>
              <w:rPr>
                <w:rFonts w:hint="eastAsia" w:ascii="仿宋" w:hAnsi="仿宋" w:eastAsia="仿宋" w:cs="仿宋"/>
                <w:b/>
                <w:bCs/>
                <w:i w:val="0"/>
                <w:iCs w:val="0"/>
                <w:color w:val="333333"/>
                <w:kern w:val="0"/>
                <w:sz w:val="24"/>
                <w:szCs w:val="24"/>
                <w:u w:val="none"/>
                <w:lang w:val="en-US" w:eastAsia="zh-CN" w:bidi="ar"/>
              </w:rPr>
              <w:t>第一层次</w:t>
            </w:r>
          </w:p>
        </w:tc>
        <w:tc>
          <w:tcPr>
            <w:tcW w:w="2655" w:type="dxa"/>
            <w:tcBorders>
              <w:top w:val="single" w:color="000000" w:sz="4" w:space="0"/>
              <w:left w:val="single" w:color="000000" w:sz="4" w:space="0"/>
              <w:bottom w:val="single" w:color="000000" w:sz="4" w:space="0"/>
              <w:right w:val="single" w:color="000000" w:sz="4" w:space="0"/>
            </w:tcBorders>
            <w:noWrap w:val="0"/>
            <w:vAlign w:val="center"/>
          </w:tcPr>
          <w:p w14:paraId="455FF3F7">
            <w:pPr>
              <w:keepNext w:val="0"/>
              <w:keepLines w:val="0"/>
              <w:widowControl/>
              <w:suppressLineNumbers w:val="0"/>
              <w:jc w:val="center"/>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在所研究领域内取得国内外同行公认的开创性成果及突出的学术贡献，或在学科内取得国内领先或世界先进水平的、有影响力的成果。</w:t>
            </w:r>
          </w:p>
        </w:tc>
        <w:tc>
          <w:tcPr>
            <w:tcW w:w="6870" w:type="dxa"/>
            <w:gridSpan w:val="3"/>
            <w:tcBorders>
              <w:top w:val="single" w:color="000000" w:sz="4" w:space="0"/>
              <w:left w:val="single" w:color="000000" w:sz="4" w:space="0"/>
              <w:bottom w:val="single" w:color="000000" w:sz="4" w:space="0"/>
              <w:right w:val="single" w:color="000000" w:sz="4" w:space="0"/>
            </w:tcBorders>
            <w:noWrap w:val="0"/>
            <w:vAlign w:val="center"/>
          </w:tcPr>
          <w:p w14:paraId="57C26C42">
            <w:pPr>
              <w:keepNext w:val="0"/>
              <w:keepLines w:val="0"/>
              <w:widowControl/>
              <w:suppressLineNumbers w:val="0"/>
              <w:jc w:val="center"/>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一事一议</w:t>
            </w:r>
          </w:p>
        </w:tc>
      </w:tr>
      <w:tr w14:paraId="12D2E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jc w:val="center"/>
        </w:trPr>
        <w:tc>
          <w:tcPr>
            <w:tcW w:w="7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55541CE">
            <w:pPr>
              <w:keepNext w:val="0"/>
              <w:keepLines w:val="0"/>
              <w:widowControl/>
              <w:suppressLineNumbers w:val="0"/>
              <w:jc w:val="center"/>
              <w:textAlignment w:val="center"/>
              <w:rPr>
                <w:rFonts w:hint="eastAsia" w:ascii="仿宋" w:hAnsi="仿宋" w:eastAsia="仿宋" w:cs="仿宋"/>
                <w:b/>
                <w:bCs/>
                <w:i w:val="0"/>
                <w:iCs w:val="0"/>
                <w:color w:val="333333"/>
                <w:sz w:val="24"/>
                <w:szCs w:val="24"/>
                <w:u w:val="none"/>
              </w:rPr>
            </w:pPr>
            <w:r>
              <w:rPr>
                <w:rFonts w:hint="eastAsia" w:ascii="仿宋" w:hAnsi="仿宋" w:eastAsia="仿宋" w:cs="仿宋"/>
                <w:b/>
                <w:bCs/>
                <w:i w:val="0"/>
                <w:iCs w:val="0"/>
                <w:color w:val="333333"/>
                <w:kern w:val="0"/>
                <w:sz w:val="24"/>
                <w:szCs w:val="24"/>
                <w:u w:val="none"/>
                <w:lang w:val="en-US" w:eastAsia="zh-CN" w:bidi="ar"/>
              </w:rPr>
              <w:t>第二</w:t>
            </w:r>
            <w:r>
              <w:rPr>
                <w:rStyle w:val="9"/>
                <w:rFonts w:eastAsia="仿宋"/>
                <w:lang w:val="en-US" w:eastAsia="zh-CN" w:bidi="ar"/>
              </w:rPr>
              <w:t xml:space="preserve"> </w:t>
            </w:r>
            <w:r>
              <w:rPr>
                <w:rStyle w:val="10"/>
                <w:lang w:val="en-US" w:eastAsia="zh-CN" w:bidi="ar"/>
              </w:rPr>
              <w:t>层次</w:t>
            </w:r>
          </w:p>
        </w:tc>
        <w:tc>
          <w:tcPr>
            <w:tcW w:w="265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BB773E">
            <w:pPr>
              <w:keepNext w:val="0"/>
              <w:keepLines w:val="0"/>
              <w:widowControl/>
              <w:suppressLineNumbers w:val="0"/>
              <w:jc w:val="left"/>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优秀博士（后），具有研究生学历和博士学位的人员（两证齐全），一般年龄不超过40周岁。</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3FB769">
            <w:pPr>
              <w:keepNext w:val="0"/>
              <w:keepLines w:val="0"/>
              <w:widowControl/>
              <w:suppressLineNumbers w:val="0"/>
              <w:jc w:val="center"/>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科研启动费</w:t>
            </w:r>
          </w:p>
        </w:tc>
        <w:tc>
          <w:tcPr>
            <w:tcW w:w="6195"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85CF3FF">
            <w:pPr>
              <w:keepNext w:val="0"/>
              <w:keepLines w:val="0"/>
              <w:widowControl/>
              <w:suppressLineNumbers w:val="0"/>
              <w:jc w:val="center"/>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安家费</w:t>
            </w:r>
          </w:p>
        </w:tc>
      </w:tr>
      <w:tr w14:paraId="69DC5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7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54D4B1">
            <w:pPr>
              <w:jc w:val="center"/>
              <w:rPr>
                <w:rFonts w:hint="eastAsia" w:ascii="仿宋" w:hAnsi="仿宋" w:eastAsia="仿宋" w:cs="仿宋"/>
                <w:b/>
                <w:bCs/>
                <w:i w:val="0"/>
                <w:iCs w:val="0"/>
                <w:color w:val="333333"/>
                <w:sz w:val="24"/>
                <w:szCs w:val="24"/>
                <w:u w:val="none"/>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25A0978">
            <w:pPr>
              <w:rPr>
                <w:rFonts w:hint="eastAsia" w:ascii="仿宋" w:hAnsi="仿宋" w:eastAsia="仿宋" w:cs="仿宋"/>
                <w:i w:val="0"/>
                <w:iCs w:val="0"/>
                <w:color w:val="333333"/>
                <w:sz w:val="24"/>
                <w:szCs w:val="24"/>
                <w:u w:val="none"/>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3CD1AFC">
            <w:pPr>
              <w:jc w:val="center"/>
              <w:rPr>
                <w:rFonts w:hint="eastAsia" w:ascii="仿宋" w:hAnsi="仿宋" w:eastAsia="仿宋" w:cs="仿宋"/>
                <w:i w:val="0"/>
                <w:iCs w:val="0"/>
                <w:color w:val="333333"/>
                <w:sz w:val="24"/>
                <w:szCs w:val="24"/>
                <w:u w:val="none"/>
              </w:rPr>
            </w:pPr>
          </w:p>
        </w:tc>
        <w:tc>
          <w:tcPr>
            <w:tcW w:w="6195"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85C7CD">
            <w:pPr>
              <w:keepNext w:val="0"/>
              <w:keepLines w:val="0"/>
              <w:widowControl/>
              <w:suppressLineNumbers w:val="0"/>
              <w:jc w:val="center"/>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两项因素之和</w:t>
            </w:r>
          </w:p>
        </w:tc>
      </w:tr>
      <w:tr w14:paraId="75CDA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jc w:val="center"/>
        </w:trPr>
        <w:tc>
          <w:tcPr>
            <w:tcW w:w="7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CF8282A">
            <w:pPr>
              <w:jc w:val="center"/>
              <w:rPr>
                <w:rFonts w:hint="eastAsia" w:ascii="仿宋" w:hAnsi="仿宋" w:eastAsia="仿宋" w:cs="仿宋"/>
                <w:b/>
                <w:bCs/>
                <w:i w:val="0"/>
                <w:iCs w:val="0"/>
                <w:color w:val="333333"/>
                <w:sz w:val="24"/>
                <w:szCs w:val="24"/>
                <w:u w:val="none"/>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54FA7C">
            <w:pPr>
              <w:rPr>
                <w:rFonts w:hint="eastAsia" w:ascii="仿宋" w:hAnsi="仿宋" w:eastAsia="仿宋" w:cs="仿宋"/>
                <w:i w:val="0"/>
                <w:iCs w:val="0"/>
                <w:color w:val="333333"/>
                <w:sz w:val="24"/>
                <w:szCs w:val="24"/>
                <w:u w:val="none"/>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3EEB5ED">
            <w:pPr>
              <w:jc w:val="center"/>
              <w:rPr>
                <w:rFonts w:hint="eastAsia" w:ascii="仿宋" w:hAnsi="仿宋" w:eastAsia="仿宋" w:cs="仿宋"/>
                <w:i w:val="0"/>
                <w:iCs w:val="0"/>
                <w:color w:val="333333"/>
                <w:sz w:val="24"/>
                <w:szCs w:val="24"/>
                <w:u w:val="none"/>
              </w:rPr>
            </w:pPr>
          </w:p>
        </w:tc>
        <w:tc>
          <w:tcPr>
            <w:tcW w:w="42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3430EC4">
            <w:pPr>
              <w:keepNext w:val="0"/>
              <w:keepLines w:val="0"/>
              <w:widowControl/>
              <w:suppressLineNumbers w:val="0"/>
              <w:jc w:val="center"/>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科研成果</w:t>
            </w:r>
          </w:p>
        </w:tc>
        <w:tc>
          <w:tcPr>
            <w:tcW w:w="196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6AA35F">
            <w:pPr>
              <w:keepNext w:val="0"/>
              <w:keepLines w:val="0"/>
              <w:widowControl/>
              <w:suppressLineNumbers w:val="0"/>
              <w:jc w:val="center"/>
              <w:textAlignment w:val="center"/>
              <w:rPr>
                <w:rFonts w:hint="eastAsia" w:ascii="仿宋" w:hAnsi="仿宋" w:eastAsia="仿宋" w:cs="仿宋"/>
                <w:i w:val="0"/>
                <w:iCs w:val="0"/>
                <w:color w:val="0000FF"/>
                <w:sz w:val="24"/>
                <w:szCs w:val="24"/>
                <w:u w:val="none"/>
              </w:rPr>
            </w:pPr>
            <w:r>
              <w:rPr>
                <w:rFonts w:hint="eastAsia" w:ascii="仿宋" w:hAnsi="仿宋" w:eastAsia="仿宋" w:cs="仿宋"/>
                <w:i w:val="0"/>
                <w:iCs w:val="0"/>
                <w:color w:val="333333"/>
                <w:kern w:val="0"/>
                <w:sz w:val="24"/>
                <w:szCs w:val="24"/>
                <w:u w:val="none"/>
                <w:lang w:val="en-US" w:eastAsia="zh-CN" w:bidi="ar"/>
              </w:rPr>
              <w:t>教育背景</w:t>
            </w:r>
          </w:p>
        </w:tc>
      </w:tr>
      <w:tr w14:paraId="272E4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atLeast"/>
          <w:jc w:val="center"/>
        </w:trPr>
        <w:tc>
          <w:tcPr>
            <w:tcW w:w="7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9E7A0B">
            <w:pPr>
              <w:jc w:val="center"/>
              <w:rPr>
                <w:rFonts w:hint="eastAsia" w:ascii="仿宋" w:hAnsi="仿宋" w:eastAsia="仿宋" w:cs="仿宋"/>
                <w:b/>
                <w:bCs/>
                <w:i w:val="0"/>
                <w:iCs w:val="0"/>
                <w:color w:val="333333"/>
                <w:sz w:val="24"/>
                <w:szCs w:val="24"/>
                <w:u w:val="none"/>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155DEA">
            <w:pPr>
              <w:rPr>
                <w:rFonts w:hint="eastAsia" w:ascii="仿宋" w:hAnsi="仿宋" w:eastAsia="仿宋" w:cs="仿宋"/>
                <w:i w:val="0"/>
                <w:iCs w:val="0"/>
                <w:color w:val="333333"/>
                <w:sz w:val="24"/>
                <w:szCs w:val="24"/>
                <w:u w:val="none"/>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A8A9020">
            <w:pPr>
              <w:keepNext w:val="0"/>
              <w:keepLines w:val="0"/>
              <w:widowControl/>
              <w:suppressLineNumbers w:val="0"/>
              <w:jc w:val="center"/>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自然科学15万元</w:t>
            </w:r>
          </w:p>
        </w:tc>
        <w:tc>
          <w:tcPr>
            <w:tcW w:w="42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8F28F0">
            <w:pPr>
              <w:keepNext w:val="0"/>
              <w:keepLines w:val="0"/>
              <w:widowControl/>
              <w:suppressLineNumbers w:val="0"/>
              <w:jc w:val="left"/>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分I、II、III、IV、V五档，分别为50万元、45万元、40万元、35万元、30万元。</w:t>
            </w:r>
          </w:p>
        </w:tc>
        <w:tc>
          <w:tcPr>
            <w:tcW w:w="196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D6E493">
            <w:pPr>
              <w:keepNext w:val="0"/>
              <w:keepLines w:val="0"/>
              <w:widowControl/>
              <w:suppressLineNumbers w:val="0"/>
              <w:jc w:val="both"/>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spacing w:val="-11"/>
                <w:kern w:val="0"/>
                <w:sz w:val="24"/>
                <w:szCs w:val="24"/>
                <w:u w:val="none"/>
                <w:lang w:val="en-US" w:eastAsia="zh-CN" w:bidi="ar"/>
              </w:rPr>
              <w:t>分I、II、III三档，分别为15万元、10万元、5万元。</w:t>
            </w:r>
          </w:p>
        </w:tc>
      </w:tr>
      <w:tr w14:paraId="451B7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20" w:hRule="atLeast"/>
          <w:jc w:val="center"/>
        </w:trPr>
        <w:tc>
          <w:tcPr>
            <w:tcW w:w="7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B2DA28">
            <w:pPr>
              <w:jc w:val="center"/>
              <w:rPr>
                <w:rFonts w:hint="eastAsia" w:ascii="仿宋" w:hAnsi="仿宋" w:eastAsia="仿宋" w:cs="仿宋"/>
                <w:b/>
                <w:bCs/>
                <w:i w:val="0"/>
                <w:iCs w:val="0"/>
                <w:color w:val="333333"/>
                <w:sz w:val="24"/>
                <w:szCs w:val="24"/>
                <w:u w:val="none"/>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6247576">
            <w:pPr>
              <w:rPr>
                <w:rFonts w:hint="eastAsia" w:ascii="仿宋" w:hAnsi="仿宋" w:eastAsia="仿宋" w:cs="仿宋"/>
                <w:i w:val="0"/>
                <w:iCs w:val="0"/>
                <w:color w:val="333333"/>
                <w:sz w:val="24"/>
                <w:szCs w:val="24"/>
                <w:u w:val="none"/>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B7744CB">
            <w:pPr>
              <w:jc w:val="center"/>
              <w:rPr>
                <w:rFonts w:hint="eastAsia" w:ascii="仿宋" w:hAnsi="仿宋" w:eastAsia="仿宋" w:cs="仿宋"/>
                <w:i w:val="0"/>
                <w:iCs w:val="0"/>
                <w:color w:val="333333"/>
                <w:sz w:val="24"/>
                <w:szCs w:val="24"/>
                <w:u w:val="none"/>
              </w:rPr>
            </w:pPr>
          </w:p>
        </w:tc>
        <w:tc>
          <w:tcPr>
            <w:tcW w:w="42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BDCE27">
            <w:pPr>
              <w:keepNext w:val="0"/>
              <w:keepLines w:val="0"/>
              <w:widowControl/>
              <w:suppressLineNumbers w:val="0"/>
              <w:jc w:val="left"/>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I档：以第一作者或通讯作者在SCI、EI、中文核心期刊发表本专业学术论文或以第一人身份完成省部级以上课题或者获得省部级以上科研、教学奖励或者发明专利5项。</w:t>
            </w:r>
          </w:p>
        </w:tc>
        <w:tc>
          <w:tcPr>
            <w:tcW w:w="196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1A9341">
            <w:pPr>
              <w:keepNext w:val="0"/>
              <w:keepLines w:val="0"/>
              <w:widowControl/>
              <w:suppressLineNumbers w:val="0"/>
              <w:jc w:val="both"/>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I档：本硕博均在双一流就读。</w:t>
            </w:r>
          </w:p>
        </w:tc>
      </w:tr>
      <w:tr w14:paraId="07DC1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0" w:hRule="atLeast"/>
          <w:jc w:val="center"/>
        </w:trPr>
        <w:tc>
          <w:tcPr>
            <w:tcW w:w="7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D4B27DD">
            <w:pPr>
              <w:jc w:val="center"/>
              <w:rPr>
                <w:rFonts w:hint="eastAsia" w:ascii="仿宋" w:hAnsi="仿宋" w:eastAsia="仿宋" w:cs="仿宋"/>
                <w:b/>
                <w:bCs/>
                <w:i w:val="0"/>
                <w:iCs w:val="0"/>
                <w:color w:val="333333"/>
                <w:sz w:val="24"/>
                <w:szCs w:val="24"/>
                <w:u w:val="none"/>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CAF28C">
            <w:pPr>
              <w:rPr>
                <w:rFonts w:hint="eastAsia" w:ascii="仿宋" w:hAnsi="仿宋" w:eastAsia="仿宋" w:cs="仿宋"/>
                <w:i w:val="0"/>
                <w:iCs w:val="0"/>
                <w:color w:val="333333"/>
                <w:sz w:val="24"/>
                <w:szCs w:val="24"/>
                <w:u w:val="none"/>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2A3696">
            <w:pPr>
              <w:jc w:val="center"/>
              <w:rPr>
                <w:rFonts w:hint="eastAsia" w:ascii="仿宋" w:hAnsi="仿宋" w:eastAsia="仿宋" w:cs="仿宋"/>
                <w:i w:val="0"/>
                <w:iCs w:val="0"/>
                <w:color w:val="333333"/>
                <w:sz w:val="24"/>
                <w:szCs w:val="24"/>
                <w:u w:val="none"/>
              </w:rPr>
            </w:pPr>
          </w:p>
        </w:tc>
        <w:tc>
          <w:tcPr>
            <w:tcW w:w="42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BD667B8">
            <w:pPr>
              <w:keepNext w:val="0"/>
              <w:keepLines w:val="0"/>
              <w:widowControl/>
              <w:suppressLineNumbers w:val="0"/>
              <w:jc w:val="left"/>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II档：以第一作者或通讯作者在SCI、EI、中文核心期刊发表本专业学术论文或以第一人身份完成省部级以上课题或者获得省部级以上科研、教学奖励或者发明专利4项。</w:t>
            </w:r>
          </w:p>
        </w:tc>
        <w:tc>
          <w:tcPr>
            <w:tcW w:w="196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57F48E8">
            <w:pPr>
              <w:keepNext w:val="0"/>
              <w:keepLines w:val="0"/>
              <w:widowControl/>
              <w:suppressLineNumbers w:val="0"/>
              <w:jc w:val="both"/>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II档：本硕博有双一流就读经历。</w:t>
            </w:r>
          </w:p>
        </w:tc>
      </w:tr>
      <w:tr w14:paraId="53465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0" w:hRule="atLeast"/>
          <w:jc w:val="center"/>
        </w:trPr>
        <w:tc>
          <w:tcPr>
            <w:tcW w:w="7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9B10C5">
            <w:pPr>
              <w:jc w:val="center"/>
              <w:rPr>
                <w:rFonts w:hint="eastAsia" w:ascii="仿宋" w:hAnsi="仿宋" w:eastAsia="仿宋" w:cs="仿宋"/>
                <w:b/>
                <w:bCs/>
                <w:i w:val="0"/>
                <w:iCs w:val="0"/>
                <w:color w:val="333333"/>
                <w:sz w:val="24"/>
                <w:szCs w:val="24"/>
                <w:u w:val="none"/>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E120C9">
            <w:pPr>
              <w:rPr>
                <w:rFonts w:hint="eastAsia" w:ascii="仿宋" w:hAnsi="仿宋" w:eastAsia="仿宋" w:cs="仿宋"/>
                <w:i w:val="0"/>
                <w:iCs w:val="0"/>
                <w:color w:val="333333"/>
                <w:sz w:val="24"/>
                <w:szCs w:val="24"/>
                <w:u w:val="none"/>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90E399">
            <w:pPr>
              <w:keepNext w:val="0"/>
              <w:keepLines w:val="0"/>
              <w:widowControl/>
              <w:suppressLineNumbers w:val="0"/>
              <w:jc w:val="center"/>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社会科学10万元</w:t>
            </w:r>
          </w:p>
        </w:tc>
        <w:tc>
          <w:tcPr>
            <w:tcW w:w="42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FBBFC91">
            <w:pPr>
              <w:keepNext w:val="0"/>
              <w:keepLines w:val="0"/>
              <w:widowControl/>
              <w:suppressLineNumbers w:val="0"/>
              <w:jc w:val="left"/>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III档：以第一作者或通讯作者在SCI、EI、中文核心期刊发表本专业学术论文或以第一人身份完成省部级以上课题或者获得省部级以上科研、教学奖励或者发明专利3项。</w:t>
            </w:r>
          </w:p>
        </w:tc>
        <w:tc>
          <w:tcPr>
            <w:tcW w:w="196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411E53E">
            <w:pPr>
              <w:jc w:val="both"/>
              <w:rPr>
                <w:rFonts w:hint="eastAsia" w:ascii="仿宋" w:hAnsi="仿宋" w:eastAsia="仿宋" w:cs="仿宋"/>
                <w:i w:val="0"/>
                <w:iCs w:val="0"/>
                <w:color w:val="333333"/>
                <w:sz w:val="24"/>
                <w:szCs w:val="24"/>
                <w:u w:val="none"/>
              </w:rPr>
            </w:pPr>
            <w:r>
              <w:rPr>
                <w:rFonts w:ascii="仿宋" w:hAnsi="仿宋" w:eastAsia="仿宋" w:cs="仿宋"/>
                <w:i w:val="0"/>
                <w:iCs w:val="0"/>
                <w:caps w:val="0"/>
                <w:color w:val="333333"/>
                <w:spacing w:val="0"/>
                <w:sz w:val="24"/>
                <w:szCs w:val="24"/>
                <w:shd w:val="clear" w:color="auto" w:fill="FFFFFF"/>
              </w:rPr>
              <w:t>III档：</w:t>
            </w:r>
            <w:r>
              <w:rPr>
                <w:rFonts w:hint="eastAsia" w:ascii="仿宋" w:hAnsi="仿宋" w:eastAsia="仿宋" w:cs="仿宋"/>
                <w:i w:val="0"/>
                <w:iCs w:val="0"/>
                <w:caps w:val="0"/>
                <w:color w:val="333333"/>
                <w:spacing w:val="0"/>
                <w:sz w:val="24"/>
                <w:szCs w:val="24"/>
                <w:shd w:val="clear" w:color="auto" w:fill="FFFFFF"/>
                <w:lang w:eastAsia="zh-CN"/>
              </w:rPr>
              <w:t>其他教育</w:t>
            </w:r>
            <w:r>
              <w:rPr>
                <w:rFonts w:ascii="仿宋" w:hAnsi="仿宋" w:eastAsia="仿宋" w:cs="仿宋"/>
                <w:i w:val="0"/>
                <w:iCs w:val="0"/>
                <w:caps w:val="0"/>
                <w:color w:val="333333"/>
                <w:spacing w:val="0"/>
                <w:sz w:val="24"/>
                <w:szCs w:val="24"/>
                <w:shd w:val="clear" w:color="auto" w:fill="FFFFFF"/>
              </w:rPr>
              <w:t>背景。</w:t>
            </w:r>
          </w:p>
        </w:tc>
      </w:tr>
      <w:tr w14:paraId="08747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0" w:hRule="atLeast"/>
          <w:jc w:val="center"/>
        </w:trPr>
        <w:tc>
          <w:tcPr>
            <w:tcW w:w="7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E0B1B37">
            <w:pPr>
              <w:jc w:val="center"/>
              <w:rPr>
                <w:rFonts w:hint="eastAsia" w:ascii="仿宋" w:hAnsi="仿宋" w:eastAsia="仿宋" w:cs="仿宋"/>
                <w:b/>
                <w:bCs/>
                <w:i w:val="0"/>
                <w:iCs w:val="0"/>
                <w:color w:val="333333"/>
                <w:sz w:val="24"/>
                <w:szCs w:val="24"/>
                <w:u w:val="none"/>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0B05367">
            <w:pPr>
              <w:rPr>
                <w:rFonts w:hint="eastAsia" w:ascii="仿宋" w:hAnsi="仿宋" w:eastAsia="仿宋" w:cs="仿宋"/>
                <w:i w:val="0"/>
                <w:iCs w:val="0"/>
                <w:color w:val="333333"/>
                <w:sz w:val="24"/>
                <w:szCs w:val="24"/>
                <w:u w:val="none"/>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B78D1E">
            <w:pPr>
              <w:jc w:val="center"/>
              <w:rPr>
                <w:rFonts w:hint="eastAsia" w:ascii="仿宋" w:hAnsi="仿宋" w:eastAsia="仿宋" w:cs="仿宋"/>
                <w:i w:val="0"/>
                <w:iCs w:val="0"/>
                <w:color w:val="333333"/>
                <w:sz w:val="24"/>
                <w:szCs w:val="24"/>
                <w:u w:val="none"/>
              </w:rPr>
            </w:pPr>
          </w:p>
        </w:tc>
        <w:tc>
          <w:tcPr>
            <w:tcW w:w="42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AD01A7F">
            <w:pPr>
              <w:keepNext w:val="0"/>
              <w:keepLines w:val="0"/>
              <w:widowControl/>
              <w:suppressLineNumbers w:val="0"/>
              <w:jc w:val="left"/>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IV档：以第一作者或通讯作者在SCI、EI、中文核心期刊发表本专业学术论文或以第一人身份完成省部级以上课题或者获得省部级以上科研、教学奖励或者发明专利2项。</w:t>
            </w:r>
          </w:p>
        </w:tc>
        <w:tc>
          <w:tcPr>
            <w:tcW w:w="1965" w:type="dxa"/>
            <w:tcBorders>
              <w:top w:val="single" w:color="000000" w:sz="4" w:space="0"/>
              <w:left w:val="single" w:color="000000" w:sz="4" w:space="0"/>
              <w:bottom w:val="single" w:color="000000" w:sz="4" w:space="0"/>
              <w:right w:val="single" w:color="000000" w:sz="4" w:space="0"/>
            </w:tcBorders>
            <w:noWrap w:val="0"/>
            <w:vAlign w:val="center"/>
          </w:tcPr>
          <w:p w14:paraId="62869A5E">
            <w:pPr>
              <w:rPr>
                <w:rFonts w:hint="eastAsia" w:ascii="宋体" w:hAnsi="宋体" w:eastAsia="宋体" w:cs="宋体"/>
                <w:i w:val="0"/>
                <w:iCs w:val="0"/>
                <w:color w:val="000000"/>
                <w:sz w:val="22"/>
                <w:szCs w:val="22"/>
                <w:u w:val="none"/>
              </w:rPr>
            </w:pPr>
          </w:p>
        </w:tc>
      </w:tr>
      <w:tr w14:paraId="7B227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7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6E94C08">
            <w:pPr>
              <w:jc w:val="center"/>
              <w:rPr>
                <w:rFonts w:hint="eastAsia" w:ascii="仿宋" w:hAnsi="仿宋" w:eastAsia="仿宋" w:cs="仿宋"/>
                <w:b/>
                <w:bCs/>
                <w:i w:val="0"/>
                <w:iCs w:val="0"/>
                <w:color w:val="333333"/>
                <w:sz w:val="24"/>
                <w:szCs w:val="24"/>
                <w:u w:val="none"/>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79D52D2">
            <w:pPr>
              <w:rPr>
                <w:rFonts w:hint="eastAsia" w:ascii="仿宋" w:hAnsi="仿宋" w:eastAsia="仿宋" w:cs="仿宋"/>
                <w:i w:val="0"/>
                <w:iCs w:val="0"/>
                <w:color w:val="333333"/>
                <w:sz w:val="24"/>
                <w:szCs w:val="24"/>
                <w:u w:val="none"/>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21083DE">
            <w:pPr>
              <w:jc w:val="center"/>
              <w:rPr>
                <w:rFonts w:hint="eastAsia" w:ascii="仿宋" w:hAnsi="仿宋" w:eastAsia="仿宋" w:cs="仿宋"/>
                <w:i w:val="0"/>
                <w:iCs w:val="0"/>
                <w:color w:val="333333"/>
                <w:sz w:val="24"/>
                <w:szCs w:val="24"/>
                <w:u w:val="none"/>
              </w:rPr>
            </w:pPr>
          </w:p>
        </w:tc>
        <w:tc>
          <w:tcPr>
            <w:tcW w:w="42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F7FDFFC">
            <w:pPr>
              <w:keepNext w:val="0"/>
              <w:keepLines w:val="0"/>
              <w:widowControl/>
              <w:suppressLineNumbers w:val="0"/>
              <w:jc w:val="left"/>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V档：其他。</w:t>
            </w:r>
          </w:p>
        </w:tc>
        <w:tc>
          <w:tcPr>
            <w:tcW w:w="1965" w:type="dxa"/>
            <w:tcBorders>
              <w:top w:val="single" w:color="000000" w:sz="4" w:space="0"/>
              <w:left w:val="single" w:color="000000" w:sz="4" w:space="0"/>
              <w:bottom w:val="single" w:color="000000" w:sz="4" w:space="0"/>
              <w:right w:val="single" w:color="000000" w:sz="4" w:space="0"/>
            </w:tcBorders>
            <w:noWrap w:val="0"/>
            <w:vAlign w:val="center"/>
          </w:tcPr>
          <w:p w14:paraId="166D0F16">
            <w:pPr>
              <w:rPr>
                <w:rFonts w:hint="eastAsia" w:ascii="宋体" w:hAnsi="宋体" w:eastAsia="宋体" w:cs="宋体"/>
                <w:i w:val="0"/>
                <w:iCs w:val="0"/>
                <w:color w:val="000000"/>
                <w:sz w:val="22"/>
                <w:szCs w:val="22"/>
                <w:u w:val="none"/>
              </w:rPr>
            </w:pPr>
          </w:p>
        </w:tc>
      </w:tr>
      <w:tr w14:paraId="5EFD5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0" w:hRule="atLeast"/>
          <w:jc w:val="center"/>
        </w:trPr>
        <w:tc>
          <w:tcPr>
            <w:tcW w:w="7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157747">
            <w:pPr>
              <w:jc w:val="center"/>
              <w:rPr>
                <w:rFonts w:hint="eastAsia" w:ascii="仿宋" w:hAnsi="仿宋" w:eastAsia="仿宋" w:cs="仿宋"/>
                <w:b/>
                <w:bCs/>
                <w:i w:val="0"/>
                <w:iCs w:val="0"/>
                <w:color w:val="333333"/>
                <w:sz w:val="24"/>
                <w:szCs w:val="24"/>
                <w:u w:val="none"/>
              </w:rPr>
            </w:pPr>
          </w:p>
        </w:tc>
        <w:tc>
          <w:tcPr>
            <w:tcW w:w="265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771961B">
            <w:pPr>
              <w:rPr>
                <w:rFonts w:hint="eastAsia" w:ascii="仿宋" w:hAnsi="仿宋" w:eastAsia="仿宋" w:cs="仿宋"/>
                <w:i w:val="0"/>
                <w:iCs w:val="0"/>
                <w:color w:val="333333"/>
                <w:sz w:val="24"/>
                <w:szCs w:val="24"/>
                <w:u w:val="none"/>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E3B7720">
            <w:pPr>
              <w:jc w:val="center"/>
              <w:rPr>
                <w:rFonts w:hint="eastAsia" w:ascii="仿宋" w:hAnsi="仿宋" w:eastAsia="仿宋" w:cs="仿宋"/>
                <w:i w:val="0"/>
                <w:iCs w:val="0"/>
                <w:color w:val="333333"/>
                <w:sz w:val="24"/>
                <w:szCs w:val="24"/>
                <w:u w:val="none"/>
              </w:rPr>
            </w:pPr>
          </w:p>
        </w:tc>
        <w:tc>
          <w:tcPr>
            <w:tcW w:w="42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8B64F9D">
            <w:pPr>
              <w:keepNext w:val="0"/>
              <w:keepLines w:val="0"/>
              <w:widowControl/>
              <w:suppressLineNumbers w:val="0"/>
              <w:jc w:val="left"/>
              <w:textAlignment w:val="center"/>
              <w:rPr>
                <w:rFonts w:hint="eastAsia" w:ascii="仿宋" w:hAnsi="仿宋" w:eastAsia="仿宋" w:cs="仿宋"/>
                <w:i w:val="0"/>
                <w:iCs w:val="0"/>
                <w:color w:val="333333"/>
                <w:sz w:val="24"/>
                <w:szCs w:val="24"/>
                <w:u w:val="none"/>
              </w:rPr>
            </w:pPr>
            <w:r>
              <w:rPr>
                <w:rFonts w:hint="eastAsia" w:ascii="仿宋" w:hAnsi="仿宋" w:eastAsia="仿宋" w:cs="仿宋"/>
                <w:i w:val="0"/>
                <w:iCs w:val="0"/>
                <w:color w:val="333333"/>
                <w:kern w:val="0"/>
                <w:sz w:val="24"/>
                <w:szCs w:val="24"/>
                <w:u w:val="none"/>
                <w:lang w:val="en-US" w:eastAsia="zh-CN" w:bidi="ar"/>
              </w:rPr>
              <w:t>以上成果均应为近5年成果。</w:t>
            </w:r>
            <w:r>
              <w:rPr>
                <w:rFonts w:hint="eastAsia" w:ascii="仿宋" w:hAnsi="仿宋" w:eastAsia="仿宋" w:cs="仿宋"/>
                <w:i w:val="0"/>
                <w:iCs w:val="0"/>
                <w:color w:val="333333"/>
                <w:kern w:val="0"/>
                <w:sz w:val="24"/>
                <w:szCs w:val="24"/>
                <w:u w:val="none"/>
                <w:lang w:val="en-US" w:eastAsia="zh-CN" w:bidi="ar"/>
              </w:rPr>
              <w:br w:type="textWrapping"/>
            </w:r>
            <w:r>
              <w:rPr>
                <w:rFonts w:hint="eastAsia" w:ascii="仿宋" w:hAnsi="仿宋" w:eastAsia="仿宋" w:cs="仿宋"/>
                <w:i w:val="0"/>
                <w:iCs w:val="0"/>
                <w:color w:val="333333"/>
                <w:kern w:val="0"/>
                <w:sz w:val="24"/>
                <w:szCs w:val="24"/>
                <w:u w:val="none"/>
                <w:lang w:val="en-US" w:eastAsia="zh-CN" w:bidi="ar"/>
              </w:rPr>
              <w:t>在达到I档成果的基础上，近五年论文成果每多一项按照以下标准奖励：</w:t>
            </w:r>
            <w:r>
              <w:rPr>
                <w:rFonts w:hint="eastAsia" w:ascii="仿宋" w:hAnsi="仿宋" w:eastAsia="仿宋" w:cs="仿宋"/>
                <w:i w:val="0"/>
                <w:iCs w:val="0"/>
                <w:color w:val="333333"/>
                <w:kern w:val="0"/>
                <w:sz w:val="24"/>
                <w:szCs w:val="24"/>
                <w:u w:val="none"/>
                <w:lang w:val="en-US" w:eastAsia="zh-CN" w:bidi="ar"/>
              </w:rPr>
              <w:br w:type="textWrapping"/>
            </w:r>
            <w:r>
              <w:rPr>
                <w:rFonts w:hint="eastAsia" w:ascii="仿宋" w:hAnsi="仿宋" w:eastAsia="仿宋" w:cs="仿宋"/>
                <w:i w:val="0"/>
                <w:iCs w:val="0"/>
                <w:color w:val="333333"/>
                <w:kern w:val="0"/>
                <w:sz w:val="24"/>
                <w:szCs w:val="24"/>
                <w:u w:val="none"/>
                <w:lang w:val="en-US" w:eastAsia="zh-CN" w:bidi="ar"/>
              </w:rPr>
              <w:t>本人为第一作者或通讯作者发表SCI论文：0.5万元/篇。</w:t>
            </w:r>
          </w:p>
        </w:tc>
        <w:tc>
          <w:tcPr>
            <w:tcW w:w="1965" w:type="dxa"/>
            <w:tcBorders>
              <w:top w:val="single" w:color="000000" w:sz="4" w:space="0"/>
              <w:left w:val="single" w:color="000000" w:sz="4" w:space="0"/>
              <w:bottom w:val="single" w:color="000000" w:sz="4" w:space="0"/>
              <w:right w:val="single" w:color="000000" w:sz="4" w:space="0"/>
            </w:tcBorders>
            <w:noWrap w:val="0"/>
            <w:vAlign w:val="center"/>
          </w:tcPr>
          <w:p w14:paraId="2337A896">
            <w:pPr>
              <w:rPr>
                <w:rFonts w:hint="eastAsia" w:ascii="宋体" w:hAnsi="宋体" w:eastAsia="宋体" w:cs="宋体"/>
                <w:i w:val="0"/>
                <w:iCs w:val="0"/>
                <w:color w:val="000000"/>
                <w:sz w:val="22"/>
                <w:szCs w:val="22"/>
                <w:u w:val="none"/>
              </w:rPr>
            </w:pPr>
          </w:p>
        </w:tc>
      </w:tr>
    </w:tbl>
    <w:p w14:paraId="497DCB54">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备注：</w:t>
      </w:r>
    </w:p>
    <w:p w14:paraId="5A33A69D">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lang w:val="en-US" w:eastAsia="zh-CN"/>
        </w:rPr>
        <w:t>1.</w:t>
      </w:r>
      <w:r>
        <w:rPr>
          <w:rFonts w:hint="eastAsia" w:ascii="仿宋" w:hAnsi="仿宋" w:eastAsia="仿宋" w:cs="仿宋"/>
          <w:kern w:val="0"/>
          <w:sz w:val="32"/>
          <w:szCs w:val="32"/>
        </w:rPr>
        <w:t>如遇特殊情况，学校另行研究决定。</w:t>
      </w:r>
    </w:p>
    <w:p w14:paraId="1662D01D">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lang w:val="en-US" w:eastAsia="zh-CN"/>
        </w:rPr>
        <w:t>2.</w:t>
      </w:r>
      <w:r>
        <w:rPr>
          <w:rFonts w:hint="eastAsia" w:ascii="仿宋" w:hAnsi="仿宋" w:eastAsia="仿宋" w:cs="仿宋"/>
          <w:kern w:val="0"/>
          <w:sz w:val="32"/>
          <w:szCs w:val="32"/>
        </w:rPr>
        <w:t>以上各层次其他待遇：</w:t>
      </w:r>
    </w:p>
    <w:p w14:paraId="73AE7378">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lang w:eastAsia="zh-CN"/>
        </w:rPr>
      </w:pPr>
      <w:r>
        <w:rPr>
          <w:rFonts w:hint="eastAsia" w:ascii="仿宋" w:hAnsi="仿宋" w:eastAsia="仿宋" w:cs="仿宋"/>
          <w:kern w:val="0"/>
          <w:sz w:val="32"/>
          <w:szCs w:val="32"/>
          <w:lang w:eastAsia="zh-CN"/>
        </w:rPr>
        <w:t>（</w:t>
      </w:r>
      <w:r>
        <w:rPr>
          <w:rFonts w:hint="eastAsia" w:ascii="仿宋" w:hAnsi="仿宋" w:eastAsia="仿宋" w:cs="仿宋"/>
          <w:kern w:val="0"/>
          <w:sz w:val="32"/>
          <w:szCs w:val="32"/>
          <w:lang w:val="en-US" w:eastAsia="zh-CN"/>
        </w:rPr>
        <w:t>1</w:t>
      </w:r>
      <w:r>
        <w:rPr>
          <w:rFonts w:hint="eastAsia" w:ascii="仿宋" w:hAnsi="仿宋" w:eastAsia="仿宋" w:cs="仿宋"/>
          <w:kern w:val="0"/>
          <w:sz w:val="32"/>
          <w:szCs w:val="32"/>
          <w:lang w:eastAsia="zh-CN"/>
        </w:rPr>
        <w:t>）</w:t>
      </w:r>
      <w:r>
        <w:rPr>
          <w:rFonts w:hint="eastAsia" w:ascii="仿宋" w:hAnsi="仿宋" w:eastAsia="仿宋" w:cs="仿宋"/>
          <w:kern w:val="0"/>
          <w:sz w:val="32"/>
          <w:szCs w:val="32"/>
        </w:rPr>
        <w:t>未定副教授的入职后2年内享受副教授的校内奖励绩效</w:t>
      </w:r>
      <w:r>
        <w:rPr>
          <w:rFonts w:hint="eastAsia" w:cs="仿宋"/>
          <w:kern w:val="0"/>
          <w:sz w:val="32"/>
          <w:szCs w:val="32"/>
          <w:lang w:eastAsia="zh-CN"/>
        </w:rPr>
        <w:t>，</w:t>
      </w:r>
      <w:r>
        <w:rPr>
          <w:rFonts w:hint="eastAsia" w:ascii="仿宋" w:hAnsi="仿宋" w:eastAsia="仿宋" w:cs="仿宋"/>
          <w:kern w:val="0"/>
          <w:sz w:val="32"/>
          <w:szCs w:val="32"/>
          <w:lang w:val="en-US" w:eastAsia="zh-CN"/>
        </w:rPr>
        <w:t>副高职称</w:t>
      </w:r>
      <w:r>
        <w:rPr>
          <w:rFonts w:hint="eastAsia" w:ascii="仿宋" w:hAnsi="仿宋" w:eastAsia="仿宋" w:cs="仿宋"/>
          <w:kern w:val="0"/>
          <w:sz w:val="32"/>
          <w:szCs w:val="32"/>
        </w:rPr>
        <w:t>未定教授的入职后2年内享受教授的校内奖励绩效</w:t>
      </w:r>
      <w:r>
        <w:rPr>
          <w:rFonts w:hint="eastAsia" w:ascii="仿宋" w:hAnsi="仿宋" w:eastAsia="仿宋" w:cs="仿宋"/>
          <w:kern w:val="0"/>
          <w:sz w:val="32"/>
          <w:szCs w:val="32"/>
          <w:lang w:eastAsia="zh-CN"/>
        </w:rPr>
        <w:t>；</w:t>
      </w:r>
    </w:p>
    <w:p w14:paraId="097E88FA">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lang w:eastAsia="zh-CN"/>
        </w:rPr>
      </w:pPr>
      <w:r>
        <w:rPr>
          <w:rFonts w:hint="eastAsia" w:ascii="仿宋" w:hAnsi="仿宋" w:eastAsia="仿宋" w:cs="仿宋"/>
          <w:kern w:val="0"/>
          <w:sz w:val="32"/>
          <w:szCs w:val="32"/>
          <w:lang w:eastAsia="zh-CN"/>
        </w:rPr>
        <w:t>（</w:t>
      </w:r>
      <w:r>
        <w:rPr>
          <w:rFonts w:hint="eastAsia" w:ascii="仿宋" w:hAnsi="仿宋" w:eastAsia="仿宋" w:cs="仿宋"/>
          <w:kern w:val="0"/>
          <w:sz w:val="32"/>
          <w:szCs w:val="32"/>
          <w:lang w:val="en-US" w:eastAsia="zh-CN"/>
        </w:rPr>
        <w:t>2</w:t>
      </w:r>
      <w:r>
        <w:rPr>
          <w:rFonts w:hint="eastAsia" w:ascii="仿宋" w:hAnsi="仿宋" w:eastAsia="仿宋" w:cs="仿宋"/>
          <w:kern w:val="0"/>
          <w:sz w:val="32"/>
          <w:szCs w:val="32"/>
          <w:lang w:eastAsia="zh-CN"/>
        </w:rPr>
        <w:t>）</w:t>
      </w:r>
      <w:r>
        <w:rPr>
          <w:rFonts w:hint="eastAsia" w:ascii="仿宋" w:hAnsi="仿宋" w:eastAsia="仿宋" w:cs="仿宋"/>
          <w:color w:val="000000"/>
          <w:sz w:val="32"/>
          <w:szCs w:val="32"/>
          <w:lang w:val="en-US" w:eastAsia="zh-CN"/>
        </w:rPr>
        <w:t>学校为引进博士提供住房补贴，1500元/月，按月随工资发放至个人，自签订聘用合同当月起连续执行3年；</w:t>
      </w:r>
    </w:p>
    <w:p w14:paraId="73A3C9D2">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lang w:eastAsia="zh-CN"/>
        </w:rPr>
      </w:pPr>
      <w:r>
        <w:rPr>
          <w:rFonts w:hint="eastAsia" w:ascii="仿宋" w:hAnsi="仿宋" w:eastAsia="仿宋" w:cs="仿宋"/>
          <w:kern w:val="0"/>
          <w:sz w:val="32"/>
          <w:szCs w:val="32"/>
          <w:lang w:eastAsia="zh-CN"/>
        </w:rPr>
        <w:t>（</w:t>
      </w:r>
      <w:r>
        <w:rPr>
          <w:rFonts w:hint="eastAsia" w:ascii="仿宋" w:hAnsi="仿宋" w:eastAsia="仿宋" w:cs="仿宋"/>
          <w:kern w:val="0"/>
          <w:sz w:val="32"/>
          <w:szCs w:val="32"/>
          <w:lang w:val="en-US" w:eastAsia="zh-CN"/>
        </w:rPr>
        <w:t>3</w:t>
      </w:r>
      <w:r>
        <w:rPr>
          <w:rFonts w:hint="eastAsia" w:ascii="仿宋" w:hAnsi="仿宋" w:eastAsia="仿宋" w:cs="仿宋"/>
          <w:kern w:val="0"/>
          <w:sz w:val="32"/>
          <w:szCs w:val="32"/>
          <w:lang w:eastAsia="zh-CN"/>
        </w:rPr>
        <w:t>）</w:t>
      </w:r>
      <w:r>
        <w:rPr>
          <w:rFonts w:hint="eastAsia" w:ascii="仿宋" w:hAnsi="仿宋" w:eastAsia="仿宋" w:cs="仿宋"/>
          <w:kern w:val="0"/>
          <w:sz w:val="32"/>
          <w:szCs w:val="32"/>
        </w:rPr>
        <w:t>按照学校规定享受张家口市及学校发放的博士学位津贴</w:t>
      </w:r>
      <w:r>
        <w:rPr>
          <w:rFonts w:hint="eastAsia" w:cs="仿宋"/>
          <w:kern w:val="0"/>
          <w:sz w:val="32"/>
          <w:szCs w:val="32"/>
          <w:lang w:eastAsia="zh-CN"/>
        </w:rPr>
        <w:t>。</w:t>
      </w:r>
    </w:p>
    <w:p w14:paraId="3D959252">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jc w:val="center"/>
        <w:textAlignment w:val="auto"/>
        <w:rPr>
          <w:rFonts w:hint="eastAsia" w:ascii="仿宋_GB2312" w:hAnsi="宋体" w:eastAsia="仿宋_GB2312" w:cs="Arial"/>
          <w:b/>
          <w:bCs/>
          <w:kern w:val="0"/>
          <w:sz w:val="32"/>
          <w:szCs w:val="32"/>
        </w:rPr>
      </w:pPr>
      <w:r>
        <w:rPr>
          <w:rFonts w:hint="eastAsia" w:ascii="黑体" w:hAnsi="黑体" w:eastAsia="黑体" w:cs="黑体"/>
          <w:b w:val="0"/>
          <w:bCs w:val="0"/>
          <w:kern w:val="0"/>
          <w:sz w:val="32"/>
          <w:szCs w:val="32"/>
          <w:lang w:val="en-US" w:eastAsia="zh-CN" w:bidi="ar-SA"/>
        </w:rPr>
        <w:t>第四条  人才引进程序</w:t>
      </w:r>
    </w:p>
    <w:p w14:paraId="0C605C9B">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1.制定人才引进计划。各学院（系、部）根据学科建设规划、队伍建设目标和师资队伍现状报送下一年度人才引进计划，经学校审定后上报审批。</w:t>
      </w:r>
    </w:p>
    <w:p w14:paraId="2A6F14A7">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2.上报及发布招聘信息。人事处按照上级部门公开招聘要求，制定、上报招聘方案。审批后，发布人才需求信息。各单位应根据学校下达的指标和引进条件，积极对外宣传、联系。</w:t>
      </w:r>
    </w:p>
    <w:p w14:paraId="0BA36087">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3.个人申请。应聘人员须填写《河北建筑工程学院高层次人才引进申报表》，同时提交身份证（护照）、学历学位证书、专业技术任职资格证书、科研业绩清单、学术论文检索证明、代表性论文、主持的科研项目任务书及获奖证书等相关证明材料（原件）。</w:t>
      </w:r>
    </w:p>
    <w:p w14:paraId="5A7A609A">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4.资格审查。各学院（系、部）对应聘者提供的应聘材料进行初步审核，提出初步审核意见并报人事处。人事处审核通过后，由用人单位组织教学和学术水平评价。</w:t>
      </w:r>
    </w:p>
    <w:p w14:paraId="17953912">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5.教学和学术水平评价。用人单位组建由</w:t>
      </w:r>
      <w:r>
        <w:rPr>
          <w:rFonts w:hint="eastAsia" w:ascii="仿宋" w:hAnsi="仿宋" w:eastAsia="仿宋" w:cs="仿宋"/>
          <w:kern w:val="0"/>
          <w:sz w:val="32"/>
          <w:szCs w:val="32"/>
          <w:lang w:eastAsia="zh-CN"/>
        </w:rPr>
        <w:t>主管校领导、</w:t>
      </w:r>
      <w:r>
        <w:rPr>
          <w:rFonts w:hint="eastAsia" w:ascii="仿宋" w:hAnsi="仿宋" w:eastAsia="仿宋" w:cs="仿宋"/>
          <w:kern w:val="0"/>
          <w:sz w:val="32"/>
          <w:szCs w:val="32"/>
        </w:rPr>
        <w:t>用人单位、人事处、科研处、教务处及相关专家组成的考核组，对应聘者的学习经历、教学情况、学术水平等进行评价和论证。形成引进人才考核报告（包括考核评价具体情况、是否引进、拟引进层次、相关待遇等）。</w:t>
      </w:r>
    </w:p>
    <w:p w14:paraId="50CBF4AD">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lang w:val="en-US" w:eastAsia="zh-CN"/>
        </w:rPr>
        <w:t>6.</w:t>
      </w:r>
      <w:r>
        <w:rPr>
          <w:rFonts w:hint="eastAsia" w:ascii="仿宋" w:hAnsi="仿宋" w:eastAsia="仿宋" w:cs="仿宋"/>
          <w:kern w:val="0"/>
          <w:sz w:val="32"/>
          <w:szCs w:val="32"/>
        </w:rPr>
        <w:t>学校审批。人事处复审拟引进人才的相关材料后，根据拟引进人员的材料、用人单位的报告并考虑学科建设、师资队伍建设需要等提出是否引进、引进档次、相关待遇等方面的意见，报校长办公会审批。</w:t>
      </w:r>
    </w:p>
    <w:p w14:paraId="1C167C4B">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7.公示。对学校研究决定的拟引进人才，由人事处在学校网站公示7天。</w:t>
      </w:r>
    </w:p>
    <w:p w14:paraId="0CDABCE6">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8.体检。学校研究决定的拟引进人才应在指定医院进行体检，体检不合格不予录用。</w:t>
      </w:r>
    </w:p>
    <w:p w14:paraId="208B7197">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9.签订协议。人事处代表学校与引进人才签订正式聘用协议，明确岗位职责、工作任务、工作（聘用）年限、工作要求、相关待遇等。</w:t>
      </w:r>
    </w:p>
    <w:p w14:paraId="41E3AF13">
      <w:pPr>
        <w:keepNext w:val="0"/>
        <w:keepLines w:val="0"/>
        <w:pageBreakBefore w:val="0"/>
        <w:widowControl/>
        <w:shd w:val="clear" w:color="auto" w:fill="FFFFFF"/>
        <w:kinsoku/>
        <w:wordWrap/>
        <w:overflowPunct/>
        <w:topLinePunct w:val="0"/>
        <w:autoSpaceDE/>
        <w:autoSpaceDN/>
        <w:bidi w:val="0"/>
        <w:adjustRightInd/>
        <w:snapToGrid/>
        <w:spacing w:line="620" w:lineRule="exact"/>
        <w:ind w:firstLine="640" w:firstLineChars="200"/>
        <w:jc w:val="center"/>
        <w:textAlignment w:val="auto"/>
        <w:rPr>
          <w:rFonts w:hint="eastAsia" w:ascii="黑体" w:hAnsi="黑体" w:eastAsia="黑体" w:cs="黑体"/>
          <w:b w:val="0"/>
          <w:bCs w:val="0"/>
          <w:kern w:val="0"/>
          <w:sz w:val="32"/>
          <w:szCs w:val="32"/>
        </w:rPr>
      </w:pPr>
      <w:r>
        <w:rPr>
          <w:rFonts w:hint="eastAsia" w:ascii="黑体" w:hAnsi="黑体" w:eastAsia="黑体" w:cs="黑体"/>
          <w:b w:val="0"/>
          <w:bCs w:val="0"/>
          <w:kern w:val="0"/>
          <w:sz w:val="32"/>
          <w:szCs w:val="32"/>
        </w:rPr>
        <w:t>第五条</w:t>
      </w:r>
      <w:r>
        <w:rPr>
          <w:rFonts w:hint="eastAsia" w:ascii="黑体" w:hAnsi="黑体" w:eastAsia="黑体" w:cs="黑体"/>
          <w:b w:val="0"/>
          <w:bCs w:val="0"/>
          <w:kern w:val="0"/>
          <w:sz w:val="32"/>
          <w:szCs w:val="32"/>
          <w:lang w:val="en-US" w:eastAsia="zh-CN"/>
        </w:rPr>
        <w:t xml:space="preserve"> </w:t>
      </w:r>
      <w:r>
        <w:rPr>
          <w:rFonts w:hint="eastAsia" w:ascii="黑体" w:hAnsi="黑体" w:eastAsia="黑体" w:cs="黑体"/>
          <w:b w:val="0"/>
          <w:bCs w:val="0"/>
          <w:kern w:val="0"/>
          <w:sz w:val="32"/>
          <w:szCs w:val="32"/>
        </w:rPr>
        <w:t xml:space="preserve"> 引进人才的管理与考核</w:t>
      </w:r>
    </w:p>
    <w:p w14:paraId="23ED303A">
      <w:pPr>
        <w:pStyle w:val="3"/>
        <w:keepNext w:val="0"/>
        <w:keepLines w:val="0"/>
        <w:pageBreakBefore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1.我校引进高层次人才实行合同管理。入职前需与学校签订工作协议，内容包括服务期限、权利义务及违约责任等。</w:t>
      </w:r>
    </w:p>
    <w:p w14:paraId="11AFEEBF">
      <w:pPr>
        <w:pStyle w:val="3"/>
        <w:keepNext w:val="0"/>
        <w:keepLines w:val="0"/>
        <w:pageBreakBefore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2.学校将在重大科研项目申报、创新团队组建、科技成果转化以及研究所需的设备购置费用和科研用房等方面给予重点支持。</w:t>
      </w:r>
    </w:p>
    <w:p w14:paraId="705F8A28">
      <w:pPr>
        <w:pStyle w:val="3"/>
        <w:keepNext w:val="0"/>
        <w:keepLines w:val="0"/>
        <w:pageBreakBefore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color w:val="auto"/>
          <w:kern w:val="0"/>
          <w:sz w:val="32"/>
          <w:szCs w:val="32"/>
        </w:rPr>
      </w:pPr>
      <w:r>
        <w:rPr>
          <w:rFonts w:hint="eastAsia" w:ascii="仿宋" w:hAnsi="仿宋" w:eastAsia="仿宋" w:cs="仿宋"/>
          <w:kern w:val="0"/>
          <w:sz w:val="32"/>
          <w:szCs w:val="32"/>
        </w:rPr>
        <w:t>3.学校与高层次人才签订工作协议后，设置3年业绩成果考核期，用人单位和科研处</w:t>
      </w:r>
      <w:r>
        <w:rPr>
          <w:rFonts w:hint="eastAsia" w:ascii="仿宋" w:hAnsi="仿宋" w:eastAsia="仿宋" w:cs="仿宋"/>
          <w:kern w:val="0"/>
          <w:sz w:val="32"/>
          <w:szCs w:val="32"/>
          <w:lang w:eastAsia="zh-CN"/>
        </w:rPr>
        <w:t>共同议定、</w:t>
      </w:r>
      <w:r>
        <w:rPr>
          <w:rFonts w:hint="eastAsia" w:ascii="仿宋" w:hAnsi="仿宋" w:eastAsia="仿宋" w:cs="仿宋"/>
          <w:kern w:val="0"/>
          <w:sz w:val="32"/>
          <w:szCs w:val="32"/>
        </w:rPr>
        <w:t>分解年度考核目标，共同考核，考核结果分优秀、合格</w:t>
      </w:r>
      <w:r>
        <w:rPr>
          <w:rFonts w:hint="eastAsia" w:ascii="仿宋" w:hAnsi="仿宋" w:eastAsia="仿宋" w:cs="仿宋"/>
          <w:kern w:val="0"/>
          <w:sz w:val="32"/>
          <w:szCs w:val="32"/>
          <w:lang w:eastAsia="zh-CN"/>
        </w:rPr>
        <w:t>、</w:t>
      </w:r>
      <w:r>
        <w:rPr>
          <w:rFonts w:hint="eastAsia" w:ascii="仿宋" w:hAnsi="仿宋" w:eastAsia="仿宋" w:cs="仿宋"/>
          <w:kern w:val="0"/>
          <w:sz w:val="32"/>
          <w:szCs w:val="32"/>
        </w:rPr>
        <w:t>不合格</w:t>
      </w:r>
      <w:r>
        <w:rPr>
          <w:rFonts w:hint="eastAsia" w:ascii="仿宋" w:hAnsi="仿宋" w:eastAsia="仿宋" w:cs="仿宋"/>
          <w:kern w:val="0"/>
          <w:sz w:val="32"/>
          <w:szCs w:val="32"/>
          <w:lang w:eastAsia="zh-CN"/>
        </w:rPr>
        <w:t>三</w:t>
      </w:r>
      <w:r>
        <w:rPr>
          <w:rFonts w:hint="eastAsia" w:ascii="仿宋" w:hAnsi="仿宋" w:eastAsia="仿宋" w:cs="仿宋"/>
          <w:kern w:val="0"/>
          <w:sz w:val="32"/>
          <w:szCs w:val="32"/>
        </w:rPr>
        <w:t>个等级</w:t>
      </w:r>
      <w:r>
        <w:rPr>
          <w:rFonts w:hint="eastAsia" w:cs="仿宋"/>
          <w:kern w:val="0"/>
          <w:sz w:val="32"/>
          <w:szCs w:val="32"/>
          <w:lang w:eastAsia="zh-CN"/>
        </w:rPr>
        <w:t>。</w:t>
      </w:r>
      <w:r>
        <w:rPr>
          <w:rFonts w:hint="eastAsia" w:cs="仿宋"/>
          <w:color w:val="auto"/>
          <w:kern w:val="0"/>
          <w:sz w:val="32"/>
          <w:szCs w:val="32"/>
          <w:lang w:val="en-US" w:eastAsia="zh-CN"/>
        </w:rPr>
        <w:t>安家费入职发放50%，考核结果为合格及以上等级的发放安家费剩余50%</w:t>
      </w:r>
      <w:r>
        <w:rPr>
          <w:rFonts w:hint="eastAsia" w:ascii="仿宋" w:hAnsi="仿宋" w:eastAsia="仿宋" w:cs="仿宋"/>
          <w:color w:val="auto"/>
          <w:kern w:val="0"/>
          <w:sz w:val="32"/>
          <w:szCs w:val="32"/>
        </w:rPr>
        <w:t>。</w:t>
      </w:r>
    </w:p>
    <w:p w14:paraId="587C8E7B">
      <w:pPr>
        <w:pStyle w:val="3"/>
        <w:keepNext w:val="0"/>
        <w:keepLines w:val="0"/>
        <w:pageBreakBefore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4.全职引进人员在聘期内一般不得在其他单位兼职，确需兼职的须报学校批准。</w:t>
      </w:r>
    </w:p>
    <w:p w14:paraId="16FB4931">
      <w:pPr>
        <w:pStyle w:val="3"/>
        <w:keepNext w:val="0"/>
        <w:keepLines w:val="0"/>
        <w:pageBreakBefore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5.服务期一般为8年，在服务期内，各类引进人才若因特殊原因提出终止协议，或因考核不合格、违反学术道德、弄虚作假、触犯法律等违规违法行为被学校解聘的，按协议承担相应违约责任，并按协议约定比例退还相关待遇。若其配偶属于照顾性调入（聘用）的，应同时调离。</w:t>
      </w:r>
    </w:p>
    <w:p w14:paraId="3C4F8281">
      <w:pPr>
        <w:pStyle w:val="3"/>
        <w:keepNext w:val="0"/>
        <w:keepLines w:val="0"/>
        <w:pageBreakBefore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6.拟引进人才与原单位之间产生的协约纠纷等由本人解决。</w:t>
      </w:r>
    </w:p>
    <w:p w14:paraId="4579D036">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jc w:val="center"/>
        <w:textAlignment w:val="auto"/>
        <w:rPr>
          <w:rFonts w:hint="eastAsia" w:ascii="仿宋_GB2312" w:hAnsi="宋体" w:eastAsia="仿宋_GB2312" w:cs="Arial"/>
          <w:b/>
          <w:bCs/>
          <w:kern w:val="0"/>
          <w:sz w:val="32"/>
          <w:szCs w:val="32"/>
        </w:rPr>
      </w:pPr>
      <w:r>
        <w:rPr>
          <w:rFonts w:hint="eastAsia" w:ascii="黑体" w:hAnsi="黑体" w:eastAsia="黑体" w:cs="黑体"/>
          <w:b w:val="0"/>
          <w:bCs w:val="0"/>
          <w:kern w:val="0"/>
          <w:sz w:val="32"/>
          <w:szCs w:val="32"/>
          <w:lang w:val="en-US" w:eastAsia="zh-CN" w:bidi="ar-SA"/>
        </w:rPr>
        <w:t>第六条  附  则</w:t>
      </w:r>
    </w:p>
    <w:p w14:paraId="0AEF14BF">
      <w:pPr>
        <w:pStyle w:val="3"/>
        <w:keepNext w:val="0"/>
        <w:keepLines w:val="0"/>
        <w:pageBreakBefore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1.建立“学校主导，用人单位主体”、党政一把手抓高层次人才引进工作的运行机制。各用人单位要根据实际情况科学合理地制定引进高层次人才规划和年度计划，建立人才信息库。学校加强对用人单位人才引进工作的考核，将人才引进工作列入单位主要领导的年度工作考核和任期考核。对于引进高层次人才工作表现积极且取得显著成效的单位给予表彰和奖励。</w:t>
      </w:r>
    </w:p>
    <w:p w14:paraId="65EFCBF5">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2.用人单位要严格审查应聘人员材料的真实性、合法性、有效性，严把引进人才的学历关、年龄关、学术水平关和学术道德关。</w:t>
      </w:r>
    </w:p>
    <w:p w14:paraId="3760083A">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3.用人单位及相关职能部门要避免“重引进、轻管理”的现象，切实发挥引进人才在教学、科研、学科建设、专业建设中的作用。</w:t>
      </w:r>
    </w:p>
    <w:p w14:paraId="22A42528">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4.学校其他相关规定与本办法不一致的，按本办法执行。之前已</w:t>
      </w:r>
      <w:r>
        <w:rPr>
          <w:rFonts w:hint="eastAsia" w:ascii="仿宋" w:hAnsi="仿宋" w:eastAsia="仿宋" w:cs="仿宋"/>
          <w:kern w:val="0"/>
          <w:sz w:val="32"/>
          <w:szCs w:val="32"/>
          <w:lang w:eastAsia="zh-CN"/>
        </w:rPr>
        <w:t>引进的高层次人才</w:t>
      </w:r>
      <w:r>
        <w:rPr>
          <w:rFonts w:hint="eastAsia" w:ascii="仿宋" w:hAnsi="仿宋" w:eastAsia="仿宋" w:cs="仿宋"/>
          <w:kern w:val="0"/>
          <w:sz w:val="32"/>
          <w:szCs w:val="32"/>
        </w:rPr>
        <w:t>继续按原协议</w:t>
      </w:r>
      <w:r>
        <w:rPr>
          <w:rFonts w:hint="eastAsia" w:ascii="仿宋" w:hAnsi="仿宋" w:eastAsia="仿宋" w:cs="仿宋"/>
          <w:kern w:val="0"/>
          <w:sz w:val="32"/>
          <w:szCs w:val="32"/>
          <w:lang w:eastAsia="zh-CN"/>
        </w:rPr>
        <w:t>（约定）</w:t>
      </w:r>
      <w:r>
        <w:rPr>
          <w:rFonts w:hint="eastAsia" w:ascii="仿宋" w:hAnsi="仿宋" w:eastAsia="仿宋" w:cs="仿宋"/>
          <w:kern w:val="0"/>
          <w:sz w:val="32"/>
          <w:szCs w:val="32"/>
        </w:rPr>
        <w:t>执行。</w:t>
      </w:r>
    </w:p>
    <w:p w14:paraId="1B6EF2DD">
      <w:pPr>
        <w:pStyle w:val="3"/>
        <w:keepNext w:val="0"/>
        <w:keepLines w:val="0"/>
        <w:pageBreakBefore w:val="0"/>
        <w:widowControl w:val="0"/>
        <w:kinsoku/>
        <w:wordWrap/>
        <w:overflowPunct/>
        <w:topLinePunct w:val="0"/>
        <w:autoSpaceDE/>
        <w:autoSpaceDN/>
        <w:bidi w:val="0"/>
        <w:adjustRightInd/>
        <w:snapToGrid/>
        <w:spacing w:after="0" w:line="620" w:lineRule="exact"/>
        <w:ind w:firstLine="640" w:firstLineChars="200"/>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rPr>
        <w:t>5.本办法</w:t>
      </w:r>
      <w:r>
        <w:rPr>
          <w:rFonts w:hint="eastAsia" w:ascii="仿宋" w:hAnsi="仿宋" w:eastAsia="仿宋" w:cs="仿宋"/>
          <w:kern w:val="0"/>
          <w:sz w:val="32"/>
          <w:szCs w:val="32"/>
          <w:u w:val="none"/>
        </w:rPr>
        <w:t>自印发之日起施行，</w:t>
      </w:r>
      <w:r>
        <w:rPr>
          <w:rFonts w:hint="eastAsia" w:ascii="仿宋" w:hAnsi="仿宋" w:eastAsia="仿宋" w:cs="仿宋"/>
          <w:kern w:val="0"/>
          <w:sz w:val="32"/>
          <w:szCs w:val="32"/>
        </w:rPr>
        <w:t>具体解释工作由人事处承担。</w:t>
      </w:r>
      <w:r>
        <w:rPr>
          <w:rFonts w:hint="eastAsia" w:cs="仿宋"/>
          <w:kern w:val="0"/>
          <w:sz w:val="32"/>
          <w:szCs w:val="32"/>
          <w:lang w:eastAsia="zh-CN"/>
        </w:rPr>
        <w:t>《</w:t>
      </w:r>
      <w:r>
        <w:rPr>
          <w:rFonts w:hint="eastAsia" w:ascii="仿宋" w:hAnsi="仿宋" w:eastAsia="仿宋" w:cs="仿宋"/>
          <w:kern w:val="0"/>
          <w:sz w:val="32"/>
          <w:szCs w:val="32"/>
        </w:rPr>
        <w:t>河北建筑工程学院高层次人才引进与管理办法</w:t>
      </w:r>
      <w:r>
        <w:rPr>
          <w:rFonts w:hint="eastAsia" w:cs="仿宋"/>
          <w:kern w:val="0"/>
          <w:sz w:val="32"/>
          <w:szCs w:val="32"/>
          <w:lang w:eastAsia="zh-CN"/>
        </w:rPr>
        <w:t>》（校政〔2024〕92号）</w:t>
      </w:r>
      <w:r>
        <w:rPr>
          <w:rFonts w:hint="eastAsia" w:ascii="仿宋" w:hAnsi="仿宋" w:eastAsia="仿宋" w:cs="仿宋"/>
          <w:kern w:val="0"/>
          <w:sz w:val="32"/>
          <w:szCs w:val="32"/>
          <w:u w:val="none"/>
        </w:rPr>
        <w:t>同时废止</w:t>
      </w:r>
      <w:r>
        <w:rPr>
          <w:rFonts w:hint="eastAsia" w:ascii="仿宋" w:hAnsi="仿宋" w:eastAsia="仿宋" w:cs="仿宋"/>
          <w:kern w:val="0"/>
          <w:sz w:val="32"/>
          <w:szCs w:val="32"/>
          <w:u w:val="none"/>
          <w:lang w:eastAsia="zh-CN"/>
        </w:rPr>
        <w:t>。</w:t>
      </w:r>
    </w:p>
    <w:p w14:paraId="75EB2C45">
      <w:pPr>
        <w:keepNext w:val="0"/>
        <w:keepLines w:val="0"/>
        <w:pageBreakBefore w:val="0"/>
        <w:widowControl/>
        <w:shd w:val="clear" w:color="auto" w:fill="FFFFFF"/>
        <w:kinsoku/>
        <w:wordWrap/>
        <w:overflowPunct/>
        <w:topLinePunct w:val="0"/>
        <w:autoSpaceDE/>
        <w:autoSpaceDN/>
        <w:bidi w:val="0"/>
        <w:adjustRightInd/>
        <w:snapToGrid/>
        <w:spacing w:line="620" w:lineRule="exact"/>
        <w:textAlignment w:val="auto"/>
        <w:rPr>
          <w:rStyle w:val="11"/>
          <w:rFonts w:hint="eastAsia" w:ascii="仿宋" w:hAnsi="仿宋" w:eastAsia="仿宋" w:cs="仿宋"/>
          <w:color w:val="auto"/>
          <w:sz w:val="32"/>
          <w:szCs w:val="32"/>
        </w:rPr>
      </w:pPr>
    </w:p>
    <w:p w14:paraId="1FDAC290"/>
    <w:p w14:paraId="7B06E7B0">
      <w:pPr>
        <w:pStyle w:val="2"/>
        <w:ind w:left="0" w:leftChars="0" w:firstLine="0" w:firstLineChars="0"/>
        <w:rPr>
          <w:rFonts w:hint="default" w:ascii="仿宋" w:hAnsi="仿宋" w:eastAsia="仿宋" w:cs="仿宋"/>
          <w:kern w:val="0"/>
          <w:sz w:val="32"/>
          <w:szCs w:val="32"/>
          <w:lang w:val="en-US" w:eastAsia="zh-CN" w:bidi="ar-SA"/>
        </w:rPr>
      </w:pPr>
    </w:p>
    <w:p w14:paraId="1237D253">
      <w:pPr>
        <w:pStyle w:val="2"/>
        <w:ind w:left="0" w:leftChars="0" w:firstLine="0" w:firstLineChars="0"/>
        <w:rPr>
          <w:rFonts w:hint="default" w:ascii="仿宋" w:hAnsi="仿宋" w:eastAsia="仿宋" w:cs="仿宋"/>
          <w:kern w:val="0"/>
          <w:sz w:val="32"/>
          <w:szCs w:val="32"/>
          <w:lang w:val="en-US" w:eastAsia="zh-CN" w:bidi="ar-SA"/>
        </w:rPr>
      </w:pPr>
    </w:p>
    <w:p w14:paraId="50BC92F8">
      <w:pPr>
        <w:pStyle w:val="2"/>
        <w:ind w:left="0" w:leftChars="0" w:firstLine="0" w:firstLineChars="0"/>
        <w:rPr>
          <w:rFonts w:hint="default" w:ascii="仿宋" w:hAnsi="仿宋" w:eastAsia="仿宋" w:cs="仿宋"/>
          <w:kern w:val="0"/>
          <w:sz w:val="32"/>
          <w:szCs w:val="32"/>
          <w:lang w:val="en-US" w:eastAsia="zh-CN" w:bidi="ar-SA"/>
        </w:rPr>
      </w:pPr>
    </w:p>
    <w:p w14:paraId="65C12433">
      <w:pPr>
        <w:pStyle w:val="2"/>
        <w:keepNext w:val="0"/>
        <w:keepLines w:val="0"/>
        <w:pageBreakBefore w:val="0"/>
        <w:wordWrap/>
        <w:overflowPunct/>
        <w:topLinePunct w:val="0"/>
        <w:bidi w:val="0"/>
        <w:spacing w:line="620" w:lineRule="exact"/>
        <w:ind w:left="0" w:leftChars="0" w:firstLine="0" w:firstLineChars="0"/>
        <w:rPr>
          <w:rFonts w:hint="eastAsia" w:ascii="仿宋_GB2312" w:hAnsi="仿宋_GB2312" w:eastAsia="仿宋_GB2312" w:cs="仿宋_GB2312"/>
          <w:sz w:val="32"/>
          <w:szCs w:val="32"/>
        </w:rPr>
      </w:pPr>
    </w:p>
    <w:p w14:paraId="652EC7E4"/>
    <w:p w14:paraId="3A707EB5"/>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9B5CD">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7CD640">
                          <w:pPr>
                            <w:pStyle w:val="4"/>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047CD640">
                    <w:pPr>
                      <w:pStyle w:val="4"/>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8B364A"/>
    <w:rsid w:val="768B364A"/>
    <w:rsid w:val="790F0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First Indent"/>
    <w:basedOn w:val="3"/>
    <w:unhideWhenUsed/>
    <w:qFormat/>
    <w:uiPriority w:val="99"/>
    <w:pPr>
      <w:tabs>
        <w:tab w:val="left" w:pos="2412"/>
        <w:tab w:val="left" w:pos="4857"/>
      </w:tabs>
      <w:ind w:firstLine="100" w:firstLineChars="100"/>
    </w:pPr>
  </w:style>
  <w:style w:type="paragraph" w:styleId="3">
    <w:name w:val="Body Text"/>
    <w:basedOn w:val="1"/>
    <w:qFormat/>
    <w:uiPriority w:val="1"/>
    <w:rPr>
      <w:rFonts w:ascii="仿宋" w:hAnsi="仿宋" w:eastAsia="仿宋" w:cs="仿宋"/>
      <w:sz w:val="32"/>
      <w:szCs w:val="32"/>
      <w:lang w:val="zh-CN" w:eastAsia="zh-CN" w:bidi="zh-CN"/>
    </w:rPr>
  </w:style>
  <w:style w:type="paragraph" w:styleId="4">
    <w:name w:val="footer"/>
    <w:basedOn w:val="1"/>
    <w:uiPriority w:val="0"/>
    <w:pPr>
      <w:tabs>
        <w:tab w:val="center" w:pos="4153"/>
        <w:tab w:val="right" w:pos="8306"/>
      </w:tabs>
      <w:snapToGrid w:val="0"/>
      <w:jc w:val="left"/>
    </w:pPr>
    <w:rPr>
      <w:sz w:val="18"/>
      <w:szCs w:val="18"/>
    </w:rPr>
  </w:style>
  <w:style w:type="paragraph" w:customStyle="1" w:styleId="7">
    <w:name w:val="List Paragraph1"/>
    <w:basedOn w:val="1"/>
    <w:qFormat/>
    <w:uiPriority w:val="0"/>
    <w:pPr>
      <w:ind w:firstLine="420" w:firstLineChars="200"/>
    </w:pPr>
    <w:rPr>
      <w:rFonts w:ascii="Calibri" w:hAnsi="Calibri" w:eastAsia="宋体" w:cs="Times New Roman"/>
    </w:rPr>
  </w:style>
  <w:style w:type="paragraph" w:styleId="8">
    <w:name w:val="List Paragraph"/>
    <w:basedOn w:val="1"/>
    <w:qFormat/>
    <w:uiPriority w:val="34"/>
    <w:pPr>
      <w:ind w:firstLine="420" w:firstLineChars="200"/>
    </w:pPr>
  </w:style>
  <w:style w:type="character" w:customStyle="1" w:styleId="9">
    <w:name w:val="font31"/>
    <w:basedOn w:val="6"/>
    <w:qFormat/>
    <w:uiPriority w:val="0"/>
    <w:rPr>
      <w:rFonts w:ascii="Arial" w:hAnsi="Arial" w:cs="Arial"/>
      <w:b/>
      <w:bCs/>
      <w:color w:val="333333"/>
      <w:sz w:val="24"/>
      <w:szCs w:val="24"/>
      <w:u w:val="none"/>
    </w:rPr>
  </w:style>
  <w:style w:type="character" w:customStyle="1" w:styleId="10">
    <w:name w:val="font11"/>
    <w:basedOn w:val="6"/>
    <w:qFormat/>
    <w:uiPriority w:val="0"/>
    <w:rPr>
      <w:rFonts w:hint="eastAsia" w:ascii="仿宋" w:hAnsi="仿宋" w:eastAsia="仿宋" w:cs="仿宋"/>
      <w:b/>
      <w:bCs/>
      <w:color w:val="333333"/>
      <w:sz w:val="24"/>
      <w:szCs w:val="24"/>
      <w:u w:val="none"/>
    </w:rPr>
  </w:style>
  <w:style w:type="character" w:customStyle="1" w:styleId="11">
    <w:name w:val="txt1"/>
    <w:qFormat/>
    <w:uiPriority w:val="0"/>
    <w:rPr>
      <w:rFonts w:hint="eastAsia" w:ascii="宋体" w:hAnsi="宋体" w:eastAsia="宋体"/>
      <w:color w:val="000066"/>
      <w:sz w:val="21"/>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4013</Words>
  <Characters>4050</Characters>
  <Lines>0</Lines>
  <Paragraphs>0</Paragraphs>
  <TotalTime>1</TotalTime>
  <ScaleCrop>false</ScaleCrop>
  <LinksUpToDate>false</LinksUpToDate>
  <CharactersWithSpaces>4066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2024-11-22T09:31:00Z</dcterms:created>
  <dc:creator>aa</dc:creator>
  <cp:lastModifiedBy>aa</cp:lastModifiedBy>
  <dcterms:modified xsi:type="dcterms:W3CDTF">2024-11-22T09:47:40Z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E15517D61C214B8CB4356CBCE0FC68DE_13</vt:lpwstr>
  </property>
</Properties>
</file>