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9CEA3">
      <w:pPr>
        <w:jc w:val="center"/>
        <w:rPr>
          <w:rFonts w:hint="default" w:eastAsia="宋体"/>
          <w:b/>
          <w:color w:val="FF0000"/>
          <w:sz w:val="44"/>
          <w:szCs w:val="44"/>
          <w:lang w:val="en-US" w:eastAsia="zh-CN"/>
        </w:rPr>
      </w:pPr>
    </w:p>
    <w:p w14:paraId="3E6E9701">
      <w:pPr>
        <w:jc w:val="center"/>
        <w:rPr>
          <w:rFonts w:hint="default" w:eastAsia="宋体"/>
          <w:b/>
          <w:color w:val="FF0000"/>
          <w:sz w:val="44"/>
          <w:szCs w:val="44"/>
          <w:lang w:val="en-US" w:eastAsia="zh-CN"/>
        </w:rPr>
      </w:pPr>
    </w:p>
    <w:p w14:paraId="33B89053">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070C9A78">
      <w:pPr>
        <w:ind w:firstLine="270" w:firstLineChars="100"/>
        <w:jc w:val="both"/>
        <w:rPr>
          <w:rFonts w:hint="eastAsia" w:ascii="宋体" w:hAnsi="宋体"/>
          <w:color w:val="000000"/>
          <w:sz w:val="27"/>
          <w:szCs w:val="27"/>
        </w:rPr>
      </w:pPr>
    </w:p>
    <w:p w14:paraId="74AC71A9">
      <w:pPr>
        <w:jc w:val="center"/>
        <w:rPr>
          <w:rFonts w:hint="default" w:ascii="宋体" w:hAnsi="宋体"/>
          <w:szCs w:val="21"/>
          <w:lang w:val="en-US"/>
        </w:rPr>
      </w:pPr>
      <w:bookmarkStart w:id="4"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93</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2" name="直接连接符 2"/>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q1CePw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VnzGWcOLF34&#10;3ecfvz59vf/5hda779/YLIvUB6wo9tZt4mmHYRMz40MTbf4TF3YYhD2ehVWHxAQdzqdXs/mcNBcP&#10;vuJPYoiYXitvWTZqbrTLnKGC/RtMVIxCH0LysXGsr/nL62mZ8YAmsKGbJ9MGYoGuHZLRGy3X2pic&#10;grHd3prI9kBTsF6X9GVOBPxXWK6yAuzGuME1zkenQL5ykqVjIH0cPQuee7BKcmYUvaJsESBUCbS5&#10;JJJKG5cT1DCjJ6JZ5FHWbG29PNLd7ELUbUfCTIees4dmYej+NLd52B7vyX78Vp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JHzVvYAAAACAEAAA8AAAAAAAAAAQAgAAAAIgAAAGRycy9kb3ducmV2&#10;LnhtbFBLAQIUABQAAAAIAIdO4kD6rUJ4/AEAAPMDAAAOAAAAAAAAAAEAIAAAACcBAABkcnMvZTJv&#10;RG9jLnhtbFBLBQYAAAAABgAGAFkBAACVBQAAAAA=&#10;">
                <v:fill on="f" focussize="0,0"/>
                <v:stroke weight="3pt" color="#FF0000" joinstyle="round"/>
                <v:imagedata o:title=""/>
                <o:lock v:ext="edit" aspectratio="f"/>
              </v:line>
            </w:pict>
          </mc:Fallback>
        </mc:AlternateContent>
      </w:r>
    </w:p>
    <w:bookmarkEnd w:id="4"/>
    <w:p w14:paraId="769C1046">
      <w:pPr>
        <w:jc w:val="center"/>
        <w:rPr>
          <w:rFonts w:hint="eastAsia"/>
          <w:szCs w:val="21"/>
        </w:rPr>
      </w:pPr>
    </w:p>
    <w:p w14:paraId="695F4737">
      <w:pPr>
        <w:jc w:val="center"/>
        <w:rPr>
          <w:rFonts w:hint="eastAsia" w:eastAsia="宋体"/>
          <w:szCs w:val="21"/>
          <w:lang w:val="en-US" w:eastAsia="zh-CN"/>
        </w:rPr>
      </w:pPr>
      <w:r>
        <w:rPr>
          <w:rFonts w:hint="eastAsia"/>
          <w:szCs w:val="21"/>
          <w:lang w:val="en-US" w:eastAsia="zh-CN"/>
        </w:rPr>
        <w:t xml:space="preserve"> </w:t>
      </w:r>
    </w:p>
    <w:p w14:paraId="4E21BD04">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rPr>
        <w:t>关于</w:t>
      </w:r>
      <w:r>
        <w:rPr>
          <w:rFonts w:hint="eastAsia" w:ascii="宋体" w:hAnsi="宋体" w:eastAsia="宋体" w:cs="宋体"/>
          <w:b/>
          <w:bCs/>
          <w:color w:val="auto"/>
          <w:spacing w:val="0"/>
          <w:sz w:val="44"/>
          <w:szCs w:val="44"/>
          <w:lang w:val="en-US" w:eastAsia="zh-CN"/>
        </w:rPr>
        <w:t>印发《河北建筑工程学院</w:t>
      </w:r>
    </w:p>
    <w:p w14:paraId="4B20A03E">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lang w:val="en-US" w:eastAsia="zh-CN"/>
        </w:rPr>
        <w:t>科研业绩计算办法（修订）》的通知</w:t>
      </w:r>
    </w:p>
    <w:p w14:paraId="353249A9">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仿宋" w:hAnsi="仿宋" w:eastAsia="仿宋" w:cs="仿宋"/>
          <w:bCs/>
          <w:color w:val="auto"/>
          <w:sz w:val="32"/>
          <w:szCs w:val="32"/>
          <w:lang w:val="en-US" w:eastAsia="zh-CN"/>
        </w:rPr>
      </w:pPr>
    </w:p>
    <w:p w14:paraId="096AA890">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default" w:ascii="宋体" w:hAnsi="宋体" w:eastAsia="宋体" w:cs="宋体"/>
          <w:b/>
          <w:bCs/>
          <w:color w:val="auto"/>
          <w:spacing w:val="0"/>
          <w:sz w:val="44"/>
          <w:szCs w:val="44"/>
          <w:lang w:val="en-US" w:eastAsia="zh-CN"/>
        </w:rPr>
      </w:pPr>
      <w:r>
        <w:rPr>
          <w:rFonts w:hint="eastAsia" w:ascii="仿宋" w:hAnsi="仿宋" w:eastAsia="仿宋" w:cs="仿宋"/>
          <w:bCs/>
          <w:color w:val="auto"/>
          <w:sz w:val="32"/>
          <w:szCs w:val="32"/>
          <w:lang w:val="en-US" w:eastAsia="zh-CN"/>
        </w:rPr>
        <w:t>全校各单位：</w:t>
      </w:r>
    </w:p>
    <w:p w14:paraId="32A198A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Cs/>
          <w:color w:val="auto"/>
          <w:sz w:val="32"/>
          <w:szCs w:val="32"/>
          <w:lang w:val="en-US" w:eastAsia="zh-CN"/>
        </w:rPr>
      </w:pPr>
      <w:r>
        <w:rPr>
          <w:rFonts w:hint="eastAsia" w:ascii="仿宋" w:hAnsi="仿宋" w:eastAsia="仿宋" w:cs="仿宋"/>
          <w:bCs/>
          <w:color w:val="auto"/>
          <w:sz w:val="32"/>
          <w:szCs w:val="32"/>
          <w:lang w:val="en-US" w:eastAsia="zh-CN"/>
        </w:rPr>
        <w:t>为进一步提升我校科技创新水平，实现学科高质量发展，提高我校服务国家战略和经济社会的能力，结合学校实际，特制定《河北建筑工程学院科研业绩计算办法（修订）》。现印发给你们，请遵照执行。</w:t>
      </w:r>
    </w:p>
    <w:p w14:paraId="1CE59A36">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p>
    <w:p w14:paraId="35099BF8">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附件：河北建筑工程学院科研业绩计算办法（修订）</w:t>
      </w:r>
    </w:p>
    <w:p w14:paraId="6571F31F">
      <w:pPr>
        <w:keepNext w:val="0"/>
        <w:keepLines w:val="0"/>
        <w:pageBreakBefore w:val="0"/>
        <w:widowControl w:val="0"/>
        <w:numPr>
          <w:ilvl w:val="0"/>
          <w:numId w:val="0"/>
        </w:numPr>
        <w:kinsoku/>
        <w:wordWrap w:val="0"/>
        <w:overflowPunct/>
        <w:topLinePunct w:val="0"/>
        <w:autoSpaceDE/>
        <w:autoSpaceDN/>
        <w:bidi w:val="0"/>
        <w:adjustRightInd/>
        <w:snapToGrid/>
        <w:spacing w:before="781" w:beforeLines="250" w:after="719" w:afterLines="230" w:line="560" w:lineRule="exact"/>
        <w:ind w:firstLine="640" w:firstLineChars="200"/>
        <w:jc w:val="righ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2024年11月21日  </w:t>
      </w:r>
    </w:p>
    <w:p w14:paraId="67C5AE7F">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textAlignment w:val="auto"/>
        <w:rPr>
          <w:rFonts w:hint="eastAsia" w:ascii="黑体" w:hAnsi="黑体" w:eastAsia="黑体" w:cs="黑体"/>
          <w:sz w:val="32"/>
          <w:szCs w:val="32"/>
          <w:lang w:val="en-US" w:eastAsia="zh-CN"/>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11</w:t>
      </w:r>
      <w:r>
        <w:rPr>
          <w:rFonts w:hint="eastAsia" w:ascii="仿宋" w:hAnsi="仿宋" w:eastAsia="仿宋" w:cs="仿宋"/>
          <w:sz w:val="28"/>
          <w:szCs w:val="28"/>
        </w:rPr>
        <w:t>月</w:t>
      </w:r>
      <w:r>
        <w:rPr>
          <w:rFonts w:hint="eastAsia" w:ascii="仿宋" w:hAnsi="仿宋" w:eastAsia="仿宋" w:cs="仿宋"/>
          <w:sz w:val="28"/>
          <w:szCs w:val="28"/>
          <w:lang w:val="en-US" w:eastAsia="zh-CN"/>
        </w:rPr>
        <w:t>21</w:t>
      </w:r>
      <w:r>
        <w:rPr>
          <w:rFonts w:hint="eastAsia" w:ascii="仿宋" w:hAnsi="仿宋" w:eastAsia="仿宋" w:cs="仿宋"/>
          <w:sz w:val="28"/>
          <w:szCs w:val="28"/>
        </w:rPr>
        <w:t>日印</w:t>
      </w:r>
      <w:r>
        <w:rPr>
          <w:rFonts w:hint="eastAsia" w:ascii="仿宋" w:hAnsi="仿宋" w:eastAsia="仿宋" w:cs="仿宋"/>
          <w:sz w:val="28"/>
          <w:szCs w:val="28"/>
          <w:lang w:val="en-US" w:eastAsia="zh-CN"/>
        </w:rPr>
        <w:t>发</w:t>
      </w:r>
    </w:p>
    <w:p w14:paraId="23395C04">
      <w:pPr>
        <w:bidi w:val="0"/>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w:t>
      </w:r>
    </w:p>
    <w:p w14:paraId="5A80B314">
      <w:pPr>
        <w:spacing w:line="540" w:lineRule="exact"/>
        <w:jc w:val="center"/>
        <w:rPr>
          <w:rFonts w:hint="eastAsia" w:ascii="宋体" w:hAnsi="宋体" w:eastAsia="宋体" w:cs="宋体"/>
          <w:b/>
          <w:bCs/>
          <w:sz w:val="44"/>
          <w:szCs w:val="44"/>
        </w:rPr>
      </w:pPr>
    </w:p>
    <w:p w14:paraId="1DE5CB8E">
      <w:pPr>
        <w:spacing w:line="540" w:lineRule="exact"/>
        <w:jc w:val="center"/>
        <w:rPr>
          <w:rFonts w:hint="eastAsia" w:ascii="宋体" w:hAnsi="宋体" w:eastAsia="宋体" w:cs="宋体"/>
          <w:b/>
          <w:bCs/>
          <w:sz w:val="44"/>
          <w:szCs w:val="44"/>
        </w:rPr>
      </w:pPr>
      <w:r>
        <w:rPr>
          <w:rFonts w:hint="eastAsia" w:ascii="宋体" w:hAnsi="宋体" w:eastAsia="宋体" w:cs="宋体"/>
          <w:b/>
          <w:bCs/>
          <w:sz w:val="44"/>
          <w:szCs w:val="44"/>
        </w:rPr>
        <w:t>河北建筑工程学院科研业绩计算办法</w:t>
      </w:r>
    </w:p>
    <w:p w14:paraId="46A6FA05">
      <w:pPr>
        <w:spacing w:line="540" w:lineRule="exact"/>
        <w:jc w:val="center"/>
        <w:rPr>
          <w:rFonts w:hint="eastAsia" w:ascii="宋体" w:hAnsi="宋体" w:eastAsia="宋体" w:cs="宋体"/>
          <w:b/>
          <w:bCs/>
          <w:sz w:val="44"/>
          <w:szCs w:val="44"/>
        </w:rPr>
      </w:pPr>
      <w:r>
        <w:rPr>
          <w:rFonts w:hint="eastAsia" w:ascii="宋体" w:hAnsi="宋体" w:eastAsia="宋体" w:cs="宋体"/>
          <w:b/>
          <w:bCs/>
          <w:sz w:val="44"/>
          <w:szCs w:val="44"/>
        </w:rPr>
        <w:t>（修订）</w:t>
      </w:r>
    </w:p>
    <w:p w14:paraId="594F9EA2">
      <w:pPr>
        <w:spacing w:line="540" w:lineRule="exact"/>
        <w:jc w:val="center"/>
        <w:rPr>
          <w:rFonts w:hint="eastAsia" w:ascii="宋体" w:hAnsi="宋体" w:eastAsia="宋体" w:cs="宋体"/>
          <w:b/>
          <w:bCs/>
          <w:sz w:val="44"/>
          <w:szCs w:val="44"/>
        </w:rPr>
      </w:pPr>
    </w:p>
    <w:p w14:paraId="29C2B2EA">
      <w:pPr>
        <w:pStyle w:val="10"/>
        <w:keepNext w:val="0"/>
        <w:keepLines w:val="0"/>
        <w:pageBreakBefore w:val="0"/>
        <w:widowControl w:val="0"/>
        <w:kinsoku/>
        <w:wordWrap/>
        <w:overflowPunct/>
        <w:topLinePunct w:val="0"/>
        <w:autoSpaceDE/>
        <w:autoSpaceDN/>
        <w:bidi w:val="0"/>
        <w:spacing w:line="620" w:lineRule="exact"/>
        <w:ind w:firstLine="640"/>
        <w:textAlignment w:val="auto"/>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为深入贯彻习近平新时代中国特色社会主义思想，坚持科技是第一生产力、人才是第一资源、创新是第一动力，深入实施科教兴国战略、人才强国战略、创新驱动发展战略，开辟发展新领域新赛道，不断塑造发展新动能新优势。为鼓励科研人员求真务实、潜心研究，提升我校科技创新水平，实现学科高质量发展，提高我校服务国家战略和经济社会的能力，结合学校新发展阶段的实际情况，制定本办法。</w:t>
      </w:r>
    </w:p>
    <w:p w14:paraId="2E546E69">
      <w:pPr>
        <w:pStyle w:val="11"/>
        <w:keepNext w:val="0"/>
        <w:keepLines w:val="0"/>
        <w:pageBreakBefore w:val="0"/>
        <w:widowControl w:val="0"/>
        <w:kinsoku/>
        <w:wordWrap/>
        <w:overflowPunct/>
        <w:topLinePunct w:val="0"/>
        <w:autoSpaceDE/>
        <w:autoSpaceDN/>
        <w:bidi w:val="0"/>
        <w:spacing w:line="620" w:lineRule="exact"/>
        <w:ind w:firstLine="0" w:firstLineChars="0"/>
        <w:jc w:val="center"/>
        <w:textAlignment w:val="auto"/>
        <w:rPr>
          <w:rFonts w:hint="eastAsia" w:ascii="黑体" w:hAnsi="黑体" w:eastAsia="黑体"/>
          <w:bCs/>
          <w:sz w:val="32"/>
          <w:szCs w:val="32"/>
        </w:rPr>
      </w:pPr>
      <w:r>
        <w:rPr>
          <w:rFonts w:ascii="黑体" w:hAnsi="黑体" w:eastAsia="黑体"/>
          <w:bCs/>
          <w:sz w:val="32"/>
          <w:szCs w:val="32"/>
        </w:rPr>
        <w:t>第一章  总则</w:t>
      </w:r>
    </w:p>
    <w:p w14:paraId="37843673">
      <w:pPr>
        <w:pStyle w:val="10"/>
        <w:keepNext w:val="0"/>
        <w:keepLines w:val="0"/>
        <w:pageBreakBefore w:val="0"/>
        <w:widowControl w:val="0"/>
        <w:numPr>
          <w:ilvl w:val="0"/>
          <w:numId w:val="1"/>
        </w:numPr>
        <w:kinsoku/>
        <w:wordWrap/>
        <w:overflowPunct/>
        <w:topLinePunct w:val="0"/>
        <w:autoSpaceDE/>
        <w:autoSpaceDN/>
        <w:bidi w:val="0"/>
        <w:spacing w:line="620" w:lineRule="exact"/>
        <w:ind w:left="0" w:firstLine="640"/>
        <w:textAlignment w:val="auto"/>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以习近平新时代中国特色社会主义思想为指引，深化科技体制改革，深化科技评价改革，加大多元化科技投入，加强知识产权法治保障，形成支持全面创新的基础制度。培育创新文化，弘扬科学家精神，涵养优良学风，营造创新氛围。坚持服务学科建设，服务学校高质量发展，服务国家和区域经济社会发展，加快推动科研成果向现实生产力转化，为经济社会发展注入强劲动力；坚持提高人才培养质量，促进科教融合和科研育人；坚持以创新和质量为导向，鼓励自主原始创新</w:t>
      </w:r>
      <w:r>
        <w:rPr>
          <w:rFonts w:hint="eastAsia" w:ascii="Times New Roman" w:hAnsi="Times New Roman" w:eastAsia="仿宋" w:cs="Times New Roman"/>
          <w:color w:val="000000"/>
          <w:sz w:val="32"/>
          <w:szCs w:val="32"/>
        </w:rPr>
        <w:t>。</w:t>
      </w:r>
    </w:p>
    <w:p w14:paraId="07EC7C26">
      <w:pPr>
        <w:pStyle w:val="10"/>
        <w:keepNext w:val="0"/>
        <w:keepLines w:val="0"/>
        <w:pageBreakBefore w:val="0"/>
        <w:widowControl w:val="0"/>
        <w:numPr>
          <w:ilvl w:val="0"/>
          <w:numId w:val="1"/>
        </w:numPr>
        <w:kinsoku/>
        <w:wordWrap/>
        <w:overflowPunct/>
        <w:topLinePunct w:val="0"/>
        <w:autoSpaceDE/>
        <w:autoSpaceDN/>
        <w:bidi w:val="0"/>
        <w:spacing w:line="620" w:lineRule="exact"/>
        <w:ind w:left="0" w:firstLine="640"/>
        <w:textAlignment w:val="auto"/>
        <w:rPr>
          <w:rFonts w:ascii="Times New Roman" w:hAnsi="Times New Roman" w:eastAsia="仿宋" w:cs="Times New Roman"/>
          <w:color w:val="000000"/>
          <w:sz w:val="32"/>
          <w:szCs w:val="32"/>
        </w:rPr>
      </w:pPr>
      <w:bookmarkStart w:id="0" w:name="OLE_LINK5"/>
      <w:r>
        <w:rPr>
          <w:rFonts w:ascii="Times New Roman" w:hAnsi="Times New Roman" w:eastAsia="仿宋" w:cs="Times New Roman"/>
          <w:color w:val="000000"/>
          <w:sz w:val="32"/>
          <w:szCs w:val="32"/>
        </w:rPr>
        <w:t>科研</w:t>
      </w:r>
      <w:r>
        <w:rPr>
          <w:rFonts w:hint="eastAsia" w:ascii="Times New Roman" w:hAnsi="Times New Roman" w:eastAsia="仿宋" w:cs="Times New Roman"/>
          <w:color w:val="000000"/>
          <w:sz w:val="32"/>
          <w:szCs w:val="32"/>
        </w:rPr>
        <w:t>业绩</w:t>
      </w:r>
      <w:r>
        <w:rPr>
          <w:rFonts w:ascii="Times New Roman" w:hAnsi="Times New Roman" w:eastAsia="仿宋" w:cs="Times New Roman"/>
          <w:color w:val="000000"/>
          <w:sz w:val="32"/>
          <w:szCs w:val="32"/>
        </w:rPr>
        <w:t>所涉及成果必须坚持正确的政治方向、价值取向、研究导向，坚持体现继承性、民族性、原创性、时代性、系统性和专业性。</w:t>
      </w:r>
      <w:bookmarkEnd w:id="0"/>
    </w:p>
    <w:p w14:paraId="458AF8B1">
      <w:pPr>
        <w:pStyle w:val="10"/>
        <w:keepNext w:val="0"/>
        <w:keepLines w:val="0"/>
        <w:pageBreakBefore w:val="0"/>
        <w:widowControl w:val="0"/>
        <w:numPr>
          <w:ilvl w:val="0"/>
          <w:numId w:val="1"/>
        </w:numPr>
        <w:kinsoku/>
        <w:wordWrap/>
        <w:overflowPunct/>
        <w:topLinePunct w:val="0"/>
        <w:autoSpaceDE/>
        <w:autoSpaceDN/>
        <w:bidi w:val="0"/>
        <w:spacing w:line="620" w:lineRule="exact"/>
        <w:ind w:left="0" w:firstLine="640"/>
        <w:textAlignment w:val="auto"/>
        <w:rPr>
          <w:rFonts w:ascii="Times New Roman" w:hAnsi="Times New Roman" w:eastAsia="仿宋" w:cs="Times New Roman"/>
          <w:color w:val="000000"/>
          <w:sz w:val="32"/>
          <w:szCs w:val="32"/>
        </w:rPr>
      </w:pPr>
      <w:r>
        <w:rPr>
          <w:rFonts w:hint="eastAsia" w:ascii="Times New Roman" w:hAnsi="Times New Roman" w:eastAsia="仿宋" w:cs="Times New Roman"/>
          <w:color w:val="000000"/>
          <w:sz w:val="32"/>
          <w:szCs w:val="32"/>
        </w:rPr>
        <w:t>计算</w:t>
      </w:r>
      <w:r>
        <w:rPr>
          <w:rFonts w:ascii="Times New Roman" w:hAnsi="Times New Roman" w:eastAsia="仿宋" w:cs="Times New Roman"/>
          <w:color w:val="000000"/>
          <w:sz w:val="32"/>
          <w:szCs w:val="32"/>
        </w:rPr>
        <w:t>原则是以突出质量和学术创新为导向，以学术质量和社会效益作为学术评价的重要标准，以促进学科发展为目标，不断推动学术发展和学科进步。</w:t>
      </w:r>
    </w:p>
    <w:p w14:paraId="59A19B48">
      <w:pPr>
        <w:pStyle w:val="11"/>
        <w:keepNext w:val="0"/>
        <w:keepLines w:val="0"/>
        <w:pageBreakBefore w:val="0"/>
        <w:widowControl w:val="0"/>
        <w:kinsoku/>
        <w:wordWrap/>
        <w:overflowPunct/>
        <w:topLinePunct w:val="0"/>
        <w:autoSpaceDE/>
        <w:autoSpaceDN/>
        <w:bidi w:val="0"/>
        <w:spacing w:line="620" w:lineRule="exact"/>
        <w:ind w:firstLine="0" w:firstLineChars="0"/>
        <w:jc w:val="center"/>
        <w:textAlignment w:val="auto"/>
        <w:rPr>
          <w:rFonts w:hint="eastAsia" w:ascii="黑体" w:hAnsi="黑体" w:eastAsia="黑体"/>
          <w:bCs/>
          <w:sz w:val="32"/>
          <w:szCs w:val="32"/>
        </w:rPr>
      </w:pPr>
      <w:r>
        <w:rPr>
          <w:rFonts w:ascii="黑体" w:hAnsi="黑体" w:eastAsia="黑体"/>
          <w:bCs/>
          <w:sz w:val="32"/>
          <w:szCs w:val="32"/>
        </w:rPr>
        <w:t xml:space="preserve">第二章  </w:t>
      </w:r>
      <w:r>
        <w:rPr>
          <w:rFonts w:hint="eastAsia" w:ascii="黑体" w:hAnsi="黑体" w:eastAsia="黑体"/>
          <w:bCs/>
          <w:sz w:val="32"/>
          <w:szCs w:val="32"/>
        </w:rPr>
        <w:t>计算</w:t>
      </w:r>
      <w:r>
        <w:rPr>
          <w:rFonts w:ascii="黑体" w:hAnsi="黑体" w:eastAsia="黑体"/>
          <w:bCs/>
          <w:sz w:val="32"/>
          <w:szCs w:val="32"/>
        </w:rPr>
        <w:t>范围</w:t>
      </w:r>
    </w:p>
    <w:p w14:paraId="40CC1EBF">
      <w:pPr>
        <w:pStyle w:val="10"/>
        <w:keepNext w:val="0"/>
        <w:keepLines w:val="0"/>
        <w:pageBreakBefore w:val="0"/>
        <w:widowControl w:val="0"/>
        <w:numPr>
          <w:ilvl w:val="0"/>
          <w:numId w:val="1"/>
        </w:numPr>
        <w:kinsoku/>
        <w:wordWrap/>
        <w:overflowPunct/>
        <w:topLinePunct w:val="0"/>
        <w:autoSpaceDE/>
        <w:autoSpaceDN/>
        <w:bidi w:val="0"/>
        <w:spacing w:line="620" w:lineRule="exact"/>
        <w:ind w:left="0" w:firstLine="64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本办法仅对署名“河北建筑工程学院</w:t>
      </w:r>
      <w:r>
        <w:rPr>
          <w:rFonts w:hint="eastAsia" w:ascii="仿宋" w:hAnsi="仿宋" w:eastAsia="仿宋" w:cs="仿宋"/>
          <w:color w:val="000000"/>
          <w:sz w:val="32"/>
          <w:szCs w:val="32"/>
          <w:lang w:eastAsia="zh-CN"/>
        </w:rPr>
        <w:t>（</w:t>
      </w:r>
      <w:r>
        <w:rPr>
          <w:rFonts w:ascii="Times New Roman" w:hAnsi="Times New Roman" w:eastAsia="仿宋" w:cs="Times New Roman"/>
          <w:color w:val="000000"/>
          <w:sz w:val="32"/>
          <w:szCs w:val="32"/>
        </w:rPr>
        <w:t>Hebei University of Architecture</w:t>
      </w:r>
      <w:r>
        <w:rPr>
          <w:rFonts w:hint="eastAsia" w:ascii="Times New Roman" w:hAnsi="Times New Roman" w:eastAsia="仿宋" w:cs="Times New Roman"/>
          <w:color w:val="000000"/>
          <w:sz w:val="32"/>
          <w:szCs w:val="32"/>
          <w:lang w:eastAsia="zh-CN"/>
        </w:rPr>
        <w:t>）</w:t>
      </w:r>
      <w:r>
        <w:rPr>
          <w:rFonts w:hint="eastAsia" w:ascii="仿宋" w:hAnsi="仿宋" w:eastAsia="仿宋" w:cs="仿宋"/>
          <w:color w:val="000000"/>
          <w:sz w:val="32"/>
          <w:szCs w:val="32"/>
        </w:rPr>
        <w:t>”的高质量科研项目及成果进行计算。</w:t>
      </w:r>
    </w:p>
    <w:p w14:paraId="04C144D2">
      <w:pPr>
        <w:pStyle w:val="10"/>
        <w:keepNext w:val="0"/>
        <w:keepLines w:val="0"/>
        <w:pageBreakBefore w:val="0"/>
        <w:widowControl w:val="0"/>
        <w:numPr>
          <w:ilvl w:val="0"/>
          <w:numId w:val="1"/>
        </w:numPr>
        <w:kinsoku/>
        <w:wordWrap/>
        <w:overflowPunct/>
        <w:topLinePunct w:val="0"/>
        <w:autoSpaceDE/>
        <w:autoSpaceDN/>
        <w:bidi w:val="0"/>
        <w:spacing w:line="620" w:lineRule="exact"/>
        <w:ind w:left="0" w:firstLine="64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所有科研业绩均发生在计算周期内（计算周期为：上一年9月1日至本年8月31日），特殊情况须经科研产业处认定并核准，否则不予计算。因个人原因没有计入的科研成果不予跨年度计算。</w:t>
      </w:r>
    </w:p>
    <w:p w14:paraId="6273A1FF">
      <w:pPr>
        <w:pStyle w:val="11"/>
        <w:keepNext w:val="0"/>
        <w:keepLines w:val="0"/>
        <w:pageBreakBefore w:val="0"/>
        <w:widowControl w:val="0"/>
        <w:kinsoku/>
        <w:wordWrap/>
        <w:overflowPunct/>
        <w:topLinePunct w:val="0"/>
        <w:autoSpaceDE/>
        <w:autoSpaceDN/>
        <w:bidi w:val="0"/>
        <w:spacing w:line="620" w:lineRule="exact"/>
        <w:ind w:firstLine="0" w:firstLineChars="0"/>
        <w:jc w:val="center"/>
        <w:textAlignment w:val="auto"/>
        <w:rPr>
          <w:rFonts w:hint="eastAsia" w:ascii="黑体" w:hAnsi="黑体" w:eastAsia="黑体"/>
          <w:bCs/>
          <w:sz w:val="32"/>
          <w:szCs w:val="32"/>
        </w:rPr>
      </w:pPr>
      <w:r>
        <w:rPr>
          <w:rFonts w:ascii="黑体" w:hAnsi="黑体" w:eastAsia="黑体"/>
          <w:bCs/>
          <w:sz w:val="32"/>
          <w:szCs w:val="32"/>
        </w:rPr>
        <w:t xml:space="preserve">第三章  </w:t>
      </w:r>
      <w:r>
        <w:rPr>
          <w:rFonts w:hint="eastAsia" w:ascii="黑体" w:hAnsi="黑体" w:eastAsia="黑体"/>
          <w:bCs/>
          <w:sz w:val="32"/>
          <w:szCs w:val="32"/>
        </w:rPr>
        <w:t>业绩</w:t>
      </w:r>
      <w:r>
        <w:rPr>
          <w:rFonts w:ascii="黑体" w:hAnsi="黑体" w:eastAsia="黑体"/>
          <w:bCs/>
          <w:sz w:val="32"/>
          <w:szCs w:val="32"/>
        </w:rPr>
        <w:t>分类</w:t>
      </w:r>
    </w:p>
    <w:p w14:paraId="26EAA239">
      <w:pPr>
        <w:pStyle w:val="10"/>
        <w:keepNext w:val="0"/>
        <w:keepLines w:val="0"/>
        <w:pageBreakBefore w:val="0"/>
        <w:widowControl w:val="0"/>
        <w:numPr>
          <w:ilvl w:val="0"/>
          <w:numId w:val="1"/>
        </w:numPr>
        <w:kinsoku/>
        <w:wordWrap/>
        <w:overflowPunct/>
        <w:topLinePunct w:val="0"/>
        <w:autoSpaceDE/>
        <w:autoSpaceDN/>
        <w:bidi w:val="0"/>
        <w:spacing w:line="620" w:lineRule="exact"/>
        <w:ind w:left="0" w:firstLine="64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本办法适用的科研业绩包括：政府性科研成果奖（国家级、省部级）、高水平科研项目（省部级及以上纵向指令性科研项目、100万元（含）以上横向项目）、高水平学术论文、咨政报告、专著及标准（国家标准及规范、省级标准及规范）。</w:t>
      </w:r>
    </w:p>
    <w:p w14:paraId="15B25303">
      <w:pPr>
        <w:pStyle w:val="11"/>
        <w:keepNext w:val="0"/>
        <w:keepLines w:val="0"/>
        <w:pageBreakBefore w:val="0"/>
        <w:widowControl w:val="0"/>
        <w:kinsoku/>
        <w:wordWrap/>
        <w:overflowPunct/>
        <w:topLinePunct w:val="0"/>
        <w:autoSpaceDE/>
        <w:autoSpaceDN/>
        <w:bidi w:val="0"/>
        <w:spacing w:line="620" w:lineRule="exact"/>
        <w:ind w:firstLine="0" w:firstLineChars="0"/>
        <w:jc w:val="center"/>
        <w:textAlignment w:val="auto"/>
        <w:rPr>
          <w:rFonts w:hint="eastAsia" w:ascii="黑体" w:hAnsi="黑体" w:eastAsia="黑体"/>
          <w:bCs/>
          <w:sz w:val="32"/>
          <w:szCs w:val="32"/>
        </w:rPr>
      </w:pPr>
      <w:r>
        <w:rPr>
          <w:rFonts w:ascii="黑体" w:hAnsi="黑体" w:eastAsia="黑体"/>
          <w:bCs/>
          <w:sz w:val="32"/>
          <w:szCs w:val="32"/>
        </w:rPr>
        <w:t xml:space="preserve">第四章  </w:t>
      </w:r>
      <w:r>
        <w:rPr>
          <w:rFonts w:hint="eastAsia" w:ascii="黑体" w:hAnsi="黑体" w:eastAsia="黑体"/>
          <w:bCs/>
          <w:sz w:val="32"/>
          <w:szCs w:val="32"/>
        </w:rPr>
        <w:t>业绩</w:t>
      </w:r>
      <w:r>
        <w:rPr>
          <w:rFonts w:ascii="黑体" w:hAnsi="黑体" w:eastAsia="黑体"/>
          <w:bCs/>
          <w:sz w:val="32"/>
          <w:szCs w:val="32"/>
        </w:rPr>
        <w:t>认定</w:t>
      </w:r>
    </w:p>
    <w:p w14:paraId="3D0F4EA4">
      <w:pPr>
        <w:pStyle w:val="10"/>
        <w:keepNext w:val="0"/>
        <w:keepLines w:val="0"/>
        <w:pageBreakBefore w:val="0"/>
        <w:widowControl w:val="0"/>
        <w:numPr>
          <w:ilvl w:val="0"/>
          <w:numId w:val="1"/>
        </w:numPr>
        <w:kinsoku/>
        <w:wordWrap/>
        <w:overflowPunct/>
        <w:topLinePunct w:val="0"/>
        <w:autoSpaceDE/>
        <w:autoSpaceDN/>
        <w:bidi w:val="0"/>
        <w:spacing w:line="620" w:lineRule="exact"/>
        <w:ind w:left="0" w:firstLine="640"/>
        <w:textAlignment w:val="auto"/>
        <w:rPr>
          <w:rFonts w:hint="eastAsia" w:ascii="仿宋" w:hAnsi="仿宋" w:eastAsia="仿宋" w:cs="仿宋"/>
          <w:color w:val="000000"/>
          <w:sz w:val="32"/>
          <w:szCs w:val="32"/>
        </w:rPr>
      </w:pPr>
      <w:r>
        <w:rPr>
          <w:rFonts w:hint="eastAsia" w:ascii="仿宋" w:hAnsi="仿宋" w:eastAsia="仿宋" w:cs="仿宋"/>
          <w:sz w:val="32"/>
          <w:szCs w:val="32"/>
        </w:rPr>
        <w:t>政府性科研成果奖牵头单位为我校时按照100%计算，我校作为参与单位时按照50%计算。</w:t>
      </w:r>
    </w:p>
    <w:p w14:paraId="5654C8B0">
      <w:pPr>
        <w:pStyle w:val="10"/>
        <w:keepNext w:val="0"/>
        <w:keepLines w:val="0"/>
        <w:pageBreakBefore w:val="0"/>
        <w:widowControl w:val="0"/>
        <w:numPr>
          <w:ilvl w:val="0"/>
          <w:numId w:val="2"/>
        </w:numPr>
        <w:kinsoku/>
        <w:wordWrap/>
        <w:overflowPunct/>
        <w:topLinePunct w:val="0"/>
        <w:autoSpaceDE/>
        <w:autoSpaceDN/>
        <w:bidi w:val="0"/>
        <w:adjustRightInd w:val="0"/>
        <w:snapToGrid w:val="0"/>
        <w:spacing w:line="620" w:lineRule="exact"/>
        <w:ind w:firstLine="64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政府性科研成果奖的认定，以最终公开的正式文件材料和获奖证书为准。</w:t>
      </w:r>
    </w:p>
    <w:p w14:paraId="56321925">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（1）国家级奖励包括：国家级科学技术奖（国家最高科学技术奖、国家自然科学奖、国家技术发明奖、国家科学技术进步奖、中华人民共和国国际科学技术合作奖）、国家哲学社会科学基金项目优秀成果奖。</w:t>
      </w:r>
    </w:p>
    <w:p w14:paraId="4F8DBED8">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（2）省部级奖励包括：省部级科学技术奖、省部级社会科学优秀成果奖（含河北省社会科学基金项目优秀成果奖）。</w:t>
      </w:r>
    </w:p>
    <w:p w14:paraId="06B8FEE6">
      <w:pPr>
        <w:pStyle w:val="10"/>
        <w:keepNext w:val="0"/>
        <w:keepLines w:val="0"/>
        <w:pageBreakBefore w:val="0"/>
        <w:widowControl w:val="0"/>
        <w:numPr>
          <w:ilvl w:val="0"/>
          <w:numId w:val="2"/>
        </w:numPr>
        <w:kinsoku/>
        <w:wordWrap/>
        <w:overflowPunct/>
        <w:topLinePunct w:val="0"/>
        <w:autoSpaceDE/>
        <w:autoSpaceDN/>
        <w:bidi w:val="0"/>
        <w:adjustRightInd w:val="0"/>
        <w:snapToGrid w:val="0"/>
        <w:spacing w:line="620" w:lineRule="exact"/>
        <w:ind w:firstLine="64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政府性科研成果奖均需提供单位获奖证书及所有获奖人员名单，只允许名单中一人申报奖励。</w:t>
      </w:r>
    </w:p>
    <w:p w14:paraId="6686B3FF">
      <w:pPr>
        <w:pStyle w:val="10"/>
        <w:keepNext w:val="0"/>
        <w:keepLines w:val="0"/>
        <w:pageBreakBefore w:val="0"/>
        <w:widowControl w:val="0"/>
        <w:numPr>
          <w:ilvl w:val="0"/>
          <w:numId w:val="2"/>
        </w:numPr>
        <w:kinsoku/>
        <w:wordWrap/>
        <w:overflowPunct/>
        <w:topLinePunct w:val="0"/>
        <w:autoSpaceDE/>
        <w:autoSpaceDN/>
        <w:bidi w:val="0"/>
        <w:adjustRightInd w:val="0"/>
        <w:snapToGrid w:val="0"/>
        <w:spacing w:line="620" w:lineRule="exact"/>
        <w:ind w:firstLine="64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同一项目通过多种渠道获得奖励时，只按最高等级奖励计算一次，不重复计算。</w:t>
      </w:r>
    </w:p>
    <w:p w14:paraId="6D25B576">
      <w:pPr>
        <w:pStyle w:val="10"/>
        <w:keepNext w:val="0"/>
        <w:keepLines w:val="0"/>
        <w:pageBreakBefore w:val="0"/>
        <w:widowControl w:val="0"/>
        <w:numPr>
          <w:ilvl w:val="0"/>
          <w:numId w:val="1"/>
        </w:numPr>
        <w:kinsoku/>
        <w:wordWrap/>
        <w:overflowPunct/>
        <w:topLinePunct w:val="0"/>
        <w:autoSpaceDE/>
        <w:autoSpaceDN/>
        <w:bidi w:val="0"/>
        <w:spacing w:line="620" w:lineRule="exact"/>
        <w:ind w:left="0" w:firstLine="640"/>
        <w:textAlignment w:val="auto"/>
        <w:rPr>
          <w:rFonts w:hint="eastAsia" w:ascii="仿宋" w:hAnsi="仿宋" w:eastAsia="仿宋" w:cs="仿宋"/>
          <w:color w:val="000000"/>
          <w:sz w:val="32"/>
          <w:szCs w:val="32"/>
        </w:rPr>
      </w:pPr>
      <w:r>
        <w:rPr>
          <w:rFonts w:hint="eastAsia" w:ascii="仿宋" w:hAnsi="仿宋" w:eastAsia="仿宋" w:cs="仿宋"/>
          <w:sz w:val="32"/>
          <w:szCs w:val="32"/>
        </w:rPr>
        <w:t>高水平科研项目</w:t>
      </w:r>
      <w:r>
        <w:rPr>
          <w:rFonts w:hint="eastAsia" w:ascii="仿宋" w:hAnsi="仿宋" w:eastAsia="仿宋" w:cs="仿宋"/>
          <w:color w:val="000000"/>
          <w:sz w:val="32"/>
          <w:szCs w:val="32"/>
        </w:rPr>
        <w:t>均应明确体现我校为承担单位（以材料载明的信息为准），我校为主持单位时按照100%计算，我校为合作单位时按照50%计算，我校为合作单位时必须有到账经费，否则不予计算。</w:t>
      </w:r>
    </w:p>
    <w:p w14:paraId="59E21723">
      <w:pPr>
        <w:pStyle w:val="10"/>
        <w:keepNext w:val="0"/>
        <w:keepLines w:val="0"/>
        <w:pageBreakBefore w:val="0"/>
        <w:widowControl w:val="0"/>
        <w:kinsoku/>
        <w:wordWrap/>
        <w:overflowPunct/>
        <w:topLinePunct w:val="0"/>
        <w:autoSpaceDE/>
        <w:autoSpaceDN/>
        <w:bidi w:val="0"/>
        <w:adjustRightInd w:val="0"/>
        <w:snapToGrid w:val="0"/>
        <w:spacing w:line="620" w:lineRule="exact"/>
        <w:ind w:firstLine="64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1. 省部级及以上纵向指令性科研项目是指国家、省各级政府指定的科研行政单位代表政府发布立项的指令性研究项目。</w:t>
      </w:r>
    </w:p>
    <w:p w14:paraId="4BAB06D2">
      <w:pPr>
        <w:pStyle w:val="10"/>
        <w:keepNext w:val="0"/>
        <w:keepLines w:val="0"/>
        <w:pageBreakBefore w:val="0"/>
        <w:widowControl w:val="0"/>
        <w:kinsoku/>
        <w:wordWrap/>
        <w:overflowPunct/>
        <w:topLinePunct w:val="0"/>
        <w:autoSpaceDE/>
        <w:autoSpaceDN/>
        <w:bidi w:val="0"/>
        <w:adjustRightInd w:val="0"/>
        <w:snapToGrid w:val="0"/>
        <w:spacing w:line="620" w:lineRule="exact"/>
        <w:ind w:firstLine="64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2. 非政府部门指定或授权的各行业协会、学会、研究会指令性项目均降一级计算。</w:t>
      </w:r>
    </w:p>
    <w:p w14:paraId="75C22AEC">
      <w:pPr>
        <w:pStyle w:val="10"/>
        <w:keepNext w:val="0"/>
        <w:keepLines w:val="0"/>
        <w:pageBreakBefore w:val="0"/>
        <w:widowControl w:val="0"/>
        <w:numPr>
          <w:ilvl w:val="0"/>
          <w:numId w:val="1"/>
        </w:numPr>
        <w:kinsoku/>
        <w:wordWrap/>
        <w:overflowPunct/>
        <w:topLinePunct w:val="0"/>
        <w:autoSpaceDE/>
        <w:autoSpaceDN/>
        <w:bidi w:val="0"/>
        <w:spacing w:line="620" w:lineRule="exact"/>
        <w:ind w:left="0" w:firstLine="640"/>
        <w:textAlignment w:val="auto"/>
        <w:rPr>
          <w:rFonts w:ascii="Times New Roman" w:hAnsi="Times New Roman" w:eastAsia="仿宋" w:cs="Times New Roman"/>
          <w:color w:val="000000"/>
          <w:sz w:val="32"/>
          <w:szCs w:val="32"/>
        </w:rPr>
      </w:pPr>
      <w:r>
        <w:rPr>
          <w:rFonts w:hint="eastAsia" w:ascii="Times New Roman" w:hAnsi="Times New Roman" w:eastAsia="仿宋" w:cs="Times New Roman"/>
          <w:sz w:val="32"/>
          <w:szCs w:val="32"/>
        </w:rPr>
        <w:t>高水平</w:t>
      </w:r>
      <w:r>
        <w:rPr>
          <w:rFonts w:ascii="Times New Roman" w:hAnsi="Times New Roman" w:eastAsia="仿宋" w:cs="Times New Roman"/>
          <w:sz w:val="32"/>
          <w:szCs w:val="32"/>
        </w:rPr>
        <w:t>学术论文必须是以</w:t>
      </w:r>
      <w:r>
        <w:rPr>
          <w:rFonts w:hint="eastAsia" w:ascii="Times New Roman" w:hAnsi="Times New Roman" w:eastAsia="仿宋" w:cs="Times New Roman"/>
          <w:sz w:val="32"/>
          <w:szCs w:val="32"/>
        </w:rPr>
        <w:t>“</w:t>
      </w:r>
      <w:r>
        <w:rPr>
          <w:rFonts w:ascii="Times New Roman" w:hAnsi="Times New Roman" w:eastAsia="仿宋" w:cs="Times New Roman"/>
          <w:sz w:val="32"/>
          <w:szCs w:val="32"/>
        </w:rPr>
        <w:t>河北建筑工程学院</w:t>
      </w:r>
      <w:r>
        <w:rPr>
          <w:rFonts w:hint="eastAsia" w:ascii="Times New Roman" w:hAnsi="Times New Roman" w:eastAsia="仿宋" w:cs="Times New Roman"/>
          <w:sz w:val="32"/>
          <w:szCs w:val="32"/>
          <w:lang w:eastAsia="zh-CN"/>
        </w:rPr>
        <w:t>（</w:t>
      </w:r>
      <w:r>
        <w:rPr>
          <w:rFonts w:ascii="Times New Roman" w:hAnsi="Times New Roman" w:eastAsia="仿宋" w:cs="Times New Roman"/>
          <w:color w:val="000000"/>
          <w:sz w:val="32"/>
          <w:szCs w:val="32"/>
        </w:rPr>
        <w:t>Hebei University of Architecture</w:t>
      </w:r>
      <w:r>
        <w:rPr>
          <w:rFonts w:hint="eastAsia" w:ascii="Times New Roman" w:hAnsi="Times New Roman" w:eastAsia="仿宋" w:cs="Times New Roman"/>
          <w:color w:val="000000"/>
          <w:sz w:val="32"/>
          <w:szCs w:val="32"/>
          <w:lang w:eastAsia="zh-CN"/>
        </w:rPr>
        <w:t>）</w:t>
      </w:r>
      <w:r>
        <w:rPr>
          <w:rFonts w:hint="eastAsia" w:ascii="Times New Roman" w:hAnsi="Times New Roman" w:eastAsia="仿宋" w:cs="Times New Roman"/>
          <w:sz w:val="32"/>
          <w:szCs w:val="32"/>
        </w:rPr>
        <w:t>”</w:t>
      </w:r>
      <w:r>
        <w:rPr>
          <w:rFonts w:ascii="Times New Roman" w:hAnsi="Times New Roman" w:eastAsia="仿宋" w:cs="Times New Roman"/>
          <w:sz w:val="32"/>
          <w:szCs w:val="32"/>
        </w:rPr>
        <w:t>或者我校承建的科研创新平台为署名单位</w:t>
      </w:r>
      <w:r>
        <w:rPr>
          <w:rFonts w:hint="eastAsia" w:ascii="Times New Roman" w:hAnsi="Times New Roman" w:eastAsia="仿宋" w:cs="Times New Roman"/>
          <w:sz w:val="32"/>
          <w:szCs w:val="32"/>
        </w:rPr>
        <w:t>，</w:t>
      </w:r>
      <w:r>
        <w:rPr>
          <w:rFonts w:ascii="Times New Roman" w:hAnsi="Times New Roman" w:eastAsia="仿宋" w:cs="Times New Roman"/>
          <w:sz w:val="32"/>
          <w:szCs w:val="32"/>
        </w:rPr>
        <w:t>只计算我校教师为第一作者或通讯作者的</w:t>
      </w:r>
      <w:r>
        <w:rPr>
          <w:rFonts w:hint="eastAsia" w:ascii="Times New Roman" w:hAnsi="Times New Roman" w:eastAsia="仿宋" w:cs="Times New Roman"/>
          <w:sz w:val="32"/>
          <w:szCs w:val="32"/>
        </w:rPr>
        <w:t>论文，通讯作者等同于第一作者，如果通讯作者与第一作者不为同一人且均为我校教职工时，只计第一作者。共同第一作者只计算SCI-Top期刊论文且只计算一人，共同通讯作者不予计算。学术论文</w:t>
      </w:r>
      <w:r>
        <w:rPr>
          <w:rFonts w:ascii="Times New Roman" w:hAnsi="Times New Roman" w:eastAsia="仿宋" w:cs="Times New Roman"/>
          <w:sz w:val="32"/>
          <w:szCs w:val="32"/>
        </w:rPr>
        <w:t>的认定，均以最终公开的正式文件材料</w:t>
      </w:r>
      <w:r>
        <w:rPr>
          <w:rFonts w:ascii="Times New Roman" w:hAnsi="Times New Roman" w:eastAsia="仿宋" w:cs="Times New Roman"/>
          <w:color w:val="000000"/>
          <w:sz w:val="32"/>
          <w:szCs w:val="32"/>
        </w:rPr>
        <w:t>为准。</w:t>
      </w:r>
    </w:p>
    <w:p w14:paraId="354693FF">
      <w:pPr>
        <w:pStyle w:val="10"/>
        <w:keepNext w:val="0"/>
        <w:keepLines w:val="0"/>
        <w:pageBreakBefore w:val="0"/>
        <w:widowControl w:val="0"/>
        <w:numPr>
          <w:ilvl w:val="0"/>
          <w:numId w:val="3"/>
        </w:numPr>
        <w:kinsoku/>
        <w:wordWrap/>
        <w:overflowPunct/>
        <w:topLinePunct w:val="0"/>
        <w:autoSpaceDE/>
        <w:autoSpaceDN/>
        <w:bidi w:val="0"/>
        <w:adjustRightInd w:val="0"/>
        <w:snapToGrid w:val="0"/>
        <w:spacing w:line="620" w:lineRule="exact"/>
        <w:ind w:firstLine="640"/>
        <w:textAlignment w:val="auto"/>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我校在读学生（含本科生和研究生）为第一作者、其导师（指该生的指导教师或研究生导师）为共同作者的学术论文，</w:t>
      </w:r>
      <w:r>
        <w:rPr>
          <w:rFonts w:ascii="Times New Roman" w:hAnsi="Times New Roman" w:eastAsia="仿宋" w:cs="Times New Roman"/>
          <w:sz w:val="32"/>
          <w:szCs w:val="32"/>
        </w:rPr>
        <w:t>可认定为导师的</w:t>
      </w:r>
      <w:r>
        <w:rPr>
          <w:rFonts w:ascii="Times New Roman" w:hAnsi="Times New Roman" w:eastAsia="仿宋" w:cs="Times New Roman"/>
          <w:color w:val="000000"/>
          <w:sz w:val="32"/>
          <w:szCs w:val="32"/>
        </w:rPr>
        <w:t>学术论文</w:t>
      </w:r>
      <w:r>
        <w:rPr>
          <w:rFonts w:ascii="Times New Roman" w:hAnsi="Times New Roman" w:eastAsia="仿宋" w:cs="Times New Roman"/>
          <w:sz w:val="32"/>
          <w:szCs w:val="32"/>
        </w:rPr>
        <w:t>。</w:t>
      </w:r>
    </w:p>
    <w:p w14:paraId="2389F065">
      <w:pPr>
        <w:pStyle w:val="10"/>
        <w:keepNext w:val="0"/>
        <w:keepLines w:val="0"/>
        <w:pageBreakBefore w:val="0"/>
        <w:widowControl w:val="0"/>
        <w:numPr>
          <w:ilvl w:val="0"/>
          <w:numId w:val="3"/>
        </w:numPr>
        <w:kinsoku/>
        <w:wordWrap/>
        <w:overflowPunct/>
        <w:topLinePunct w:val="0"/>
        <w:autoSpaceDE/>
        <w:autoSpaceDN/>
        <w:bidi w:val="0"/>
        <w:adjustRightInd w:val="0"/>
        <w:snapToGrid w:val="0"/>
        <w:spacing w:line="620" w:lineRule="exact"/>
        <w:ind w:firstLine="640"/>
        <w:textAlignment w:val="auto"/>
        <w:rPr>
          <w:rFonts w:hint="eastAsia" w:ascii="仿宋" w:hAnsi="仿宋" w:eastAsia="仿宋" w:cs="仿宋"/>
          <w:color w:val="000000"/>
          <w:sz w:val="32"/>
          <w:szCs w:val="32"/>
        </w:rPr>
      </w:pPr>
      <w:r>
        <w:rPr>
          <w:rFonts w:ascii="Times New Roman" w:hAnsi="Times New Roman" w:eastAsia="仿宋" w:cs="Times New Roman"/>
          <w:color w:val="000000"/>
          <w:sz w:val="32"/>
          <w:szCs w:val="32"/>
        </w:rPr>
        <w:t>论文一般以最终见刊为准，带有DOI号码的网络首发版本按见刊处理，部分在线发表期刊以带有DOI</w:t>
      </w:r>
      <w:r>
        <w:rPr>
          <w:rFonts w:hint="eastAsia" w:ascii="仿宋" w:hAnsi="仿宋" w:eastAsia="仿宋" w:cs="仿宋"/>
          <w:color w:val="000000"/>
          <w:sz w:val="32"/>
          <w:szCs w:val="32"/>
        </w:rPr>
        <w:t>号码的预印版为准，并以论文发表时间所对应的目录版本为准进行认定。发表在学术期刊内刊、增刊、特刊、专刊和论文集（学科公认的高水平学术会议论文集除外）上的论文不计。</w:t>
      </w:r>
    </w:p>
    <w:p w14:paraId="2902EF9D">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（1）中文核心期刊以北京大学图书馆和北京高校图书馆期刊工作研究会评定的《中文核心期刊要目总览》中的期刊为准。</w:t>
      </w:r>
    </w:p>
    <w:p w14:paraId="0DF908C1">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ascii="Times New Roman" w:hAnsi="Times New Roman" w:eastAsia="仿宋" w:cs="Times New Roman"/>
          <w:kern w:val="0"/>
          <w:sz w:val="32"/>
          <w:szCs w:val="32"/>
        </w:rPr>
      </w:pPr>
      <w:r>
        <w:rPr>
          <w:rFonts w:ascii="Times New Roman" w:hAnsi="Times New Roman" w:eastAsia="仿宋" w:cs="Times New Roman"/>
          <w:kern w:val="0"/>
          <w:sz w:val="32"/>
          <w:szCs w:val="32"/>
        </w:rPr>
        <w:t>（2）CSSCI期刊以南京大学中国社会科学研究评价中心评定的《CSSCI来源期刊目录》</w:t>
      </w:r>
      <w:bookmarkStart w:id="1" w:name="OLE_LINK3"/>
      <w:r>
        <w:rPr>
          <w:rFonts w:hint="eastAsia" w:ascii="Times New Roman" w:hAnsi="Times New Roman" w:eastAsia="仿宋" w:cs="Times New Roman"/>
          <w:kern w:val="0"/>
          <w:sz w:val="32"/>
          <w:szCs w:val="32"/>
        </w:rPr>
        <w:t>和</w:t>
      </w:r>
      <w:r>
        <w:rPr>
          <w:rFonts w:ascii="Times New Roman" w:hAnsi="Times New Roman" w:eastAsia="仿宋" w:cs="Times New Roman"/>
          <w:kern w:val="0"/>
          <w:sz w:val="32"/>
          <w:szCs w:val="32"/>
        </w:rPr>
        <w:t>《CSSCI来源期刊扩展版目录》</w:t>
      </w:r>
      <w:bookmarkEnd w:id="1"/>
      <w:r>
        <w:rPr>
          <w:rFonts w:ascii="Times New Roman" w:hAnsi="Times New Roman" w:eastAsia="仿宋" w:cs="Times New Roman"/>
          <w:kern w:val="0"/>
          <w:sz w:val="32"/>
          <w:szCs w:val="32"/>
        </w:rPr>
        <w:t>中的期刊为准。</w:t>
      </w:r>
    </w:p>
    <w:p w14:paraId="0931A5E0">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ascii="Times New Roman" w:hAnsi="Times New Roman" w:eastAsia="仿宋" w:cs="Times New Roman"/>
          <w:kern w:val="0"/>
          <w:sz w:val="32"/>
          <w:szCs w:val="32"/>
        </w:rPr>
      </w:pPr>
      <w:r>
        <w:rPr>
          <w:rFonts w:ascii="Times New Roman" w:hAnsi="Times New Roman" w:eastAsia="仿宋" w:cs="Times New Roman"/>
          <w:kern w:val="0"/>
          <w:sz w:val="32"/>
          <w:szCs w:val="32"/>
        </w:rPr>
        <w:t>（3）SCI/SSCI/A&amp;HCI/EI等期刊论文以教育部科技查新工作站或科技部一级查新机构开具的检索报告为准。</w:t>
      </w:r>
    </w:p>
    <w:p w14:paraId="5A6E4300">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Style w:val="9"/>
          <w:rFonts w:ascii="Times New Roman" w:hAnsi="Times New Roman" w:eastAsia="仿宋" w:cs="Times New Roman"/>
          <w:color w:val="auto"/>
          <w:kern w:val="0"/>
          <w:sz w:val="32"/>
          <w:szCs w:val="32"/>
          <w:u w:val="none"/>
        </w:rPr>
      </w:pPr>
      <w:r>
        <w:rPr>
          <w:rFonts w:ascii="Times New Roman" w:hAnsi="Times New Roman" w:eastAsia="仿宋" w:cs="Times New Roman"/>
          <w:kern w:val="0"/>
          <w:sz w:val="32"/>
          <w:szCs w:val="32"/>
        </w:rPr>
        <w:t>（4）SCI-Top期刊以列入《中国科学院文献情报中心期刊分区表》的Top期刊为准。具体查询办法以计算年度中国科学院文献情报中心最新公布数据为准（详询网站：</w:t>
      </w:r>
      <w:r>
        <w:rPr>
          <w:rFonts w:ascii="Times New Roman" w:hAnsi="Times New Roman" w:eastAsia="仿宋" w:cs="Times New Roman"/>
          <w:color w:val="auto"/>
          <w:kern w:val="0"/>
          <w:sz w:val="32"/>
          <w:szCs w:val="32"/>
          <w:u w:val="none"/>
        </w:rPr>
        <w:t>https://www.las.ac.cn</w:t>
      </w:r>
      <w:r>
        <w:rPr>
          <w:rFonts w:hint="eastAsia" w:ascii="Times New Roman" w:hAnsi="Times New Roman" w:eastAsia="仿宋" w:cs="Times New Roman"/>
          <w:color w:val="auto"/>
          <w:kern w:val="0"/>
          <w:sz w:val="32"/>
          <w:szCs w:val="32"/>
          <w:u w:val="none"/>
          <w:lang w:eastAsia="zh-CN"/>
        </w:rPr>
        <w:t>）</w:t>
      </w:r>
      <w:r>
        <w:rPr>
          <w:rFonts w:ascii="Times New Roman" w:hAnsi="Times New Roman" w:eastAsia="仿宋" w:cs="Times New Roman"/>
          <w:color w:val="auto"/>
          <w:kern w:val="0"/>
          <w:sz w:val="32"/>
          <w:szCs w:val="32"/>
          <w:u w:val="none"/>
        </w:rPr>
        <w:t>。</w:t>
      </w:r>
    </w:p>
    <w:p w14:paraId="07A7ED56">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（5）学科公认的高水平学术会议以二级科研部门推荐并经学校认定的重要学术会议目录为准。</w:t>
      </w:r>
    </w:p>
    <w:p w14:paraId="0E72E468">
      <w:pPr>
        <w:pStyle w:val="10"/>
        <w:keepNext w:val="0"/>
        <w:keepLines w:val="0"/>
        <w:pageBreakBefore w:val="0"/>
        <w:widowControl w:val="0"/>
        <w:numPr>
          <w:ilvl w:val="0"/>
          <w:numId w:val="1"/>
        </w:numPr>
        <w:kinsoku/>
        <w:wordWrap/>
        <w:overflowPunct/>
        <w:topLinePunct w:val="0"/>
        <w:autoSpaceDE/>
        <w:autoSpaceDN/>
        <w:bidi w:val="0"/>
        <w:spacing w:line="620" w:lineRule="exact"/>
        <w:ind w:left="0" w:firstLine="640"/>
        <w:textAlignment w:val="auto"/>
        <w:rPr>
          <w:rFonts w:hint="eastAsia" w:ascii="仿宋" w:hAnsi="仿宋" w:eastAsia="仿宋" w:cs="仿宋"/>
          <w:color w:val="000000"/>
          <w:sz w:val="32"/>
          <w:szCs w:val="32"/>
        </w:rPr>
      </w:pPr>
      <w:r>
        <w:rPr>
          <w:rFonts w:hint="eastAsia" w:ascii="仿宋" w:hAnsi="仿宋" w:eastAsia="仿宋" w:cs="仿宋"/>
          <w:sz w:val="32"/>
          <w:szCs w:val="32"/>
        </w:rPr>
        <w:t>标准（含规范、技术规程等）只计以“河北建筑工程学院</w:t>
      </w:r>
      <w:r>
        <w:rPr>
          <w:rFonts w:hint="eastAsia" w:ascii="仿宋" w:hAnsi="仿宋" w:eastAsia="仿宋" w:cs="仿宋"/>
          <w:sz w:val="32"/>
          <w:szCs w:val="32"/>
          <w:lang w:eastAsia="zh-CN"/>
        </w:rPr>
        <w:t>（</w:t>
      </w:r>
      <w:r>
        <w:rPr>
          <w:rFonts w:ascii="Times New Roman" w:hAnsi="Times New Roman" w:eastAsia="仿宋" w:cs="Times New Roman"/>
          <w:color w:val="000000"/>
          <w:sz w:val="32"/>
          <w:szCs w:val="32"/>
        </w:rPr>
        <w:t>Hebei University of Architecture</w:t>
      </w:r>
      <w:r>
        <w:rPr>
          <w:rFonts w:hint="eastAsia" w:ascii="Times New Roman" w:hAnsi="Times New Roman" w:eastAsia="仿宋" w:cs="Times New Roman"/>
          <w:color w:val="000000"/>
          <w:sz w:val="32"/>
          <w:szCs w:val="32"/>
          <w:lang w:eastAsia="zh-CN"/>
        </w:rPr>
        <w:t>）</w:t>
      </w:r>
      <w:r>
        <w:rPr>
          <w:rFonts w:hint="eastAsia" w:ascii="仿宋" w:hAnsi="仿宋" w:eastAsia="仿宋" w:cs="仿宋"/>
          <w:sz w:val="32"/>
          <w:szCs w:val="32"/>
        </w:rPr>
        <w:t>”作为参编单位的标准（含规范、技术规程等）；专著只计算我校教师为第一作者的著作。</w:t>
      </w:r>
    </w:p>
    <w:p w14:paraId="0617C89E">
      <w:pPr>
        <w:pStyle w:val="10"/>
        <w:keepNext w:val="0"/>
        <w:keepLines w:val="0"/>
        <w:pageBreakBefore w:val="0"/>
        <w:widowControl w:val="0"/>
        <w:numPr>
          <w:ilvl w:val="0"/>
          <w:numId w:val="4"/>
        </w:numPr>
        <w:kinsoku/>
        <w:wordWrap/>
        <w:overflowPunct/>
        <w:topLinePunct w:val="0"/>
        <w:autoSpaceDE/>
        <w:autoSpaceDN/>
        <w:bidi w:val="0"/>
        <w:adjustRightInd w:val="0"/>
        <w:snapToGrid w:val="0"/>
        <w:spacing w:line="620" w:lineRule="exact"/>
        <w:ind w:firstLine="640"/>
        <w:textAlignment w:val="auto"/>
        <w:rPr>
          <w:rFonts w:hint="eastAsia" w:ascii="仿宋" w:hAnsi="仿宋" w:eastAsia="仿宋" w:cs="仿宋"/>
          <w:sz w:val="32"/>
          <w:szCs w:val="32"/>
        </w:rPr>
      </w:pPr>
      <w:r>
        <w:rPr>
          <w:rFonts w:hint="eastAsia" w:ascii="仿宋" w:hAnsi="仿宋" w:eastAsia="仿宋" w:cs="仿宋"/>
          <w:color w:val="000000"/>
          <w:sz w:val="32"/>
          <w:szCs w:val="32"/>
        </w:rPr>
        <w:t>标准（含规范、技术规程等）以正式出版发行为准。标准须通过国家、省级业务主管部门批准实施，并为主要编制人（以标准载明的信息为准）。</w:t>
      </w:r>
    </w:p>
    <w:p w14:paraId="78796B9B">
      <w:pPr>
        <w:pStyle w:val="10"/>
        <w:keepNext w:val="0"/>
        <w:keepLines w:val="0"/>
        <w:pageBreakBefore w:val="0"/>
        <w:widowControl w:val="0"/>
        <w:numPr>
          <w:ilvl w:val="0"/>
          <w:numId w:val="4"/>
        </w:numPr>
        <w:kinsoku/>
        <w:wordWrap/>
        <w:overflowPunct/>
        <w:topLinePunct w:val="0"/>
        <w:autoSpaceDE/>
        <w:autoSpaceDN/>
        <w:bidi w:val="0"/>
        <w:adjustRightInd w:val="0"/>
        <w:snapToGrid w:val="0"/>
        <w:spacing w:line="620" w:lineRule="exact"/>
        <w:ind w:firstLine="640"/>
        <w:textAlignment w:val="auto"/>
        <w:rPr>
          <w:rFonts w:hint="eastAsia" w:ascii="仿宋" w:hAnsi="仿宋" w:eastAsia="仿宋" w:cs="仿宋"/>
          <w:sz w:val="32"/>
          <w:szCs w:val="32"/>
        </w:rPr>
      </w:pPr>
      <w:r>
        <w:rPr>
          <w:rFonts w:hint="eastAsia" w:ascii="仿宋" w:hAnsi="仿宋" w:eastAsia="仿宋" w:cs="仿宋"/>
          <w:color w:val="000000"/>
          <w:sz w:val="32"/>
          <w:szCs w:val="32"/>
        </w:rPr>
        <w:t>专著以国家新闻出版署国家版本数据中心查询的数据为准（详询网站：</w:t>
      </w:r>
      <w:bookmarkStart w:id="2" w:name="OLE_LINK6"/>
      <w:r>
        <w:rPr>
          <w:rFonts w:ascii="Times New Roman" w:hAnsi="Times New Roman" w:eastAsia="仿宋" w:cs="Times New Roman"/>
          <w:color w:val="000000"/>
          <w:sz w:val="32"/>
          <w:szCs w:val="32"/>
        </w:rPr>
        <w:t>https://pdc.capub.cn</w:t>
      </w:r>
      <w:r>
        <w:rPr>
          <w:rFonts w:hint="eastAsia" w:ascii="Times New Roman" w:hAnsi="Times New Roman" w:eastAsia="仿宋" w:cs="Times New Roman"/>
          <w:color w:val="000000"/>
          <w:sz w:val="32"/>
          <w:szCs w:val="32"/>
          <w:lang w:eastAsia="zh-CN"/>
        </w:rPr>
        <w:t>）</w:t>
      </w:r>
      <w:bookmarkEnd w:id="2"/>
      <w:r>
        <w:rPr>
          <w:rFonts w:hint="eastAsia" w:ascii="仿宋" w:hAnsi="仿宋" w:eastAsia="仿宋" w:cs="仿宋"/>
          <w:color w:val="000000"/>
          <w:sz w:val="32"/>
          <w:szCs w:val="32"/>
        </w:rPr>
        <w:t>，字数不少于20万字。电子书、音像图书等电子出版物不在本奖励范围内。</w:t>
      </w:r>
    </w:p>
    <w:p w14:paraId="37EFAA57">
      <w:pPr>
        <w:pStyle w:val="11"/>
        <w:keepNext w:val="0"/>
        <w:keepLines w:val="0"/>
        <w:pageBreakBefore w:val="0"/>
        <w:widowControl w:val="0"/>
        <w:kinsoku/>
        <w:wordWrap/>
        <w:overflowPunct/>
        <w:topLinePunct w:val="0"/>
        <w:autoSpaceDE/>
        <w:autoSpaceDN/>
        <w:bidi w:val="0"/>
        <w:spacing w:line="620" w:lineRule="exact"/>
        <w:ind w:firstLine="0" w:firstLineChars="0"/>
        <w:jc w:val="center"/>
        <w:textAlignment w:val="auto"/>
        <w:rPr>
          <w:rFonts w:hint="eastAsia" w:ascii="黑体" w:hAnsi="黑体" w:eastAsia="黑体"/>
          <w:bCs/>
          <w:sz w:val="32"/>
          <w:szCs w:val="32"/>
        </w:rPr>
      </w:pPr>
      <w:r>
        <w:rPr>
          <w:rFonts w:ascii="黑体" w:hAnsi="黑体" w:eastAsia="黑体"/>
          <w:bCs/>
          <w:sz w:val="32"/>
          <w:szCs w:val="32"/>
        </w:rPr>
        <w:t xml:space="preserve">第五章  </w:t>
      </w:r>
      <w:r>
        <w:rPr>
          <w:rFonts w:hint="eastAsia" w:ascii="黑体" w:hAnsi="黑体" w:eastAsia="黑体"/>
          <w:bCs/>
          <w:sz w:val="32"/>
          <w:szCs w:val="32"/>
        </w:rPr>
        <w:t>计算</w:t>
      </w:r>
      <w:r>
        <w:rPr>
          <w:rFonts w:ascii="黑体" w:hAnsi="黑体" w:eastAsia="黑体"/>
          <w:bCs/>
          <w:sz w:val="32"/>
          <w:szCs w:val="32"/>
        </w:rPr>
        <w:t>标准</w:t>
      </w:r>
    </w:p>
    <w:p w14:paraId="3CB57836">
      <w:pPr>
        <w:pStyle w:val="10"/>
        <w:keepNext w:val="0"/>
        <w:keepLines w:val="0"/>
        <w:pageBreakBefore w:val="0"/>
        <w:widowControl w:val="0"/>
        <w:numPr>
          <w:ilvl w:val="0"/>
          <w:numId w:val="1"/>
        </w:numPr>
        <w:kinsoku/>
        <w:wordWrap/>
        <w:overflowPunct/>
        <w:topLinePunct w:val="0"/>
        <w:autoSpaceDE/>
        <w:autoSpaceDN/>
        <w:bidi w:val="0"/>
        <w:spacing w:line="620" w:lineRule="exact"/>
        <w:ind w:left="0" w:firstLine="64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计算标准，详见附表1</w:t>
      </w:r>
      <w:r>
        <w:rPr>
          <w:rFonts w:hint="eastAsia" w:ascii="仿宋" w:hAnsi="仿宋" w:eastAsia="仿宋" w:cs="仿宋"/>
          <w:kern w:val="0"/>
          <w:sz w:val="32"/>
          <w:szCs w:val="32"/>
        </w:rPr>
        <w:t>《各类科研成果业绩指数标准》</w:t>
      </w:r>
      <w:r>
        <w:rPr>
          <w:rFonts w:hint="eastAsia" w:ascii="仿宋" w:hAnsi="仿宋" w:eastAsia="仿宋" w:cs="仿宋"/>
          <w:color w:val="000000"/>
          <w:sz w:val="32"/>
          <w:szCs w:val="32"/>
        </w:rPr>
        <w:t>。</w:t>
      </w:r>
    </w:p>
    <w:p w14:paraId="4A7E8B1A">
      <w:pPr>
        <w:pStyle w:val="11"/>
        <w:keepNext w:val="0"/>
        <w:keepLines w:val="0"/>
        <w:pageBreakBefore w:val="0"/>
        <w:widowControl w:val="0"/>
        <w:kinsoku/>
        <w:wordWrap/>
        <w:overflowPunct/>
        <w:topLinePunct w:val="0"/>
        <w:autoSpaceDE/>
        <w:autoSpaceDN/>
        <w:bidi w:val="0"/>
        <w:spacing w:line="620" w:lineRule="exact"/>
        <w:ind w:firstLine="0" w:firstLineChars="0"/>
        <w:jc w:val="center"/>
        <w:textAlignment w:val="auto"/>
        <w:rPr>
          <w:rFonts w:hint="eastAsia" w:ascii="黑体" w:hAnsi="黑体" w:eastAsia="黑体"/>
          <w:bCs/>
          <w:sz w:val="32"/>
          <w:szCs w:val="32"/>
        </w:rPr>
      </w:pPr>
      <w:r>
        <w:rPr>
          <w:rFonts w:ascii="黑体" w:hAnsi="黑体" w:eastAsia="黑体"/>
          <w:bCs/>
          <w:sz w:val="32"/>
          <w:szCs w:val="32"/>
        </w:rPr>
        <w:t>第六章  附则</w:t>
      </w:r>
    </w:p>
    <w:p w14:paraId="4846687A">
      <w:pPr>
        <w:pStyle w:val="10"/>
        <w:keepNext w:val="0"/>
        <w:keepLines w:val="0"/>
        <w:pageBreakBefore w:val="0"/>
        <w:widowControl w:val="0"/>
        <w:numPr>
          <w:ilvl w:val="0"/>
          <w:numId w:val="1"/>
        </w:numPr>
        <w:kinsoku/>
        <w:wordWrap/>
        <w:overflowPunct/>
        <w:topLinePunct w:val="0"/>
        <w:autoSpaceDE/>
        <w:autoSpaceDN/>
        <w:bidi w:val="0"/>
        <w:spacing w:line="620" w:lineRule="exact"/>
        <w:ind w:left="0" w:firstLine="640"/>
        <w:textAlignment w:val="auto"/>
        <w:rPr>
          <w:rFonts w:ascii="Times New Roman" w:hAnsi="Times New Roman" w:eastAsia="仿宋" w:cs="Times New Roman"/>
          <w:color w:val="000000"/>
          <w:sz w:val="32"/>
          <w:szCs w:val="32"/>
        </w:rPr>
      </w:pPr>
      <w:bookmarkStart w:id="3" w:name="OLE_LINK2"/>
      <w:r>
        <w:rPr>
          <w:rFonts w:ascii="Times New Roman" w:hAnsi="Times New Roman" w:eastAsia="仿宋" w:cs="Times New Roman"/>
          <w:color w:val="000000"/>
          <w:sz w:val="32"/>
          <w:szCs w:val="32"/>
        </w:rPr>
        <w:t>本办法没有涵盖和界定的其他科研成果，原则上不计。如新增其他项目和奖励等特殊情况，确属与我校学科密切相关的科研成果，经校学术委员会</w:t>
      </w:r>
      <w:r>
        <w:rPr>
          <w:rFonts w:ascii="Times New Roman" w:hAnsi="Times New Roman" w:eastAsia="仿宋" w:cs="Times New Roman"/>
          <w:sz w:val="32"/>
          <w:szCs w:val="32"/>
        </w:rPr>
        <w:t>研究决定是否计入</w:t>
      </w:r>
      <w:r>
        <w:rPr>
          <w:rFonts w:hint="eastAsia" w:ascii="Times New Roman" w:hAnsi="Times New Roman" w:eastAsia="仿宋" w:cs="Times New Roman"/>
          <w:sz w:val="32"/>
          <w:szCs w:val="32"/>
        </w:rPr>
        <w:t>本办法计算范围</w:t>
      </w:r>
      <w:r>
        <w:rPr>
          <w:rFonts w:ascii="Times New Roman" w:hAnsi="Times New Roman" w:eastAsia="仿宋" w:cs="Times New Roman"/>
          <w:sz w:val="32"/>
          <w:szCs w:val="32"/>
        </w:rPr>
        <w:t>。</w:t>
      </w:r>
    </w:p>
    <w:p w14:paraId="1AA3114E">
      <w:pPr>
        <w:pStyle w:val="10"/>
        <w:keepNext w:val="0"/>
        <w:keepLines w:val="0"/>
        <w:pageBreakBefore w:val="0"/>
        <w:widowControl w:val="0"/>
        <w:numPr>
          <w:ilvl w:val="0"/>
          <w:numId w:val="1"/>
        </w:numPr>
        <w:kinsoku/>
        <w:wordWrap/>
        <w:overflowPunct/>
        <w:topLinePunct w:val="0"/>
        <w:autoSpaceDE/>
        <w:autoSpaceDN/>
        <w:bidi w:val="0"/>
        <w:spacing w:line="620" w:lineRule="exact"/>
        <w:ind w:left="0" w:firstLine="640"/>
        <w:textAlignment w:val="auto"/>
        <w:rPr>
          <w:rFonts w:hint="eastAsia" w:ascii="仿宋" w:hAnsi="仿宋" w:eastAsia="仿宋" w:cs="仿宋"/>
          <w:kern w:val="0"/>
          <w:sz w:val="32"/>
          <w:szCs w:val="32"/>
        </w:rPr>
      </w:pPr>
      <w:r>
        <w:rPr>
          <w:rFonts w:ascii="Times New Roman" w:hAnsi="Times New Roman" w:eastAsia="仿宋" w:cs="Times New Roman"/>
          <w:sz w:val="32"/>
          <w:szCs w:val="32"/>
        </w:rPr>
        <w:t>本办法自</w:t>
      </w:r>
      <w:r>
        <w:rPr>
          <w:rFonts w:hint="eastAsia" w:ascii="Times New Roman" w:hAnsi="Times New Roman" w:eastAsia="仿宋" w:cs="Times New Roman"/>
          <w:sz w:val="32"/>
          <w:szCs w:val="32"/>
          <w:lang w:val="en-US" w:eastAsia="zh-CN"/>
        </w:rPr>
        <w:t>2023年9月1日</w:t>
      </w:r>
      <w:r>
        <w:rPr>
          <w:rFonts w:hint="eastAsia" w:ascii="仿宋" w:hAnsi="仿宋" w:eastAsia="仿宋" w:cs="仿宋"/>
          <w:sz w:val="32"/>
          <w:szCs w:val="32"/>
        </w:rPr>
        <w:t>起执行，原《河北建筑工程学院科研奖励办法》（校政〔2024〕5号）同时废止。本办法具体解释工作由科研产业处承担。</w:t>
      </w:r>
    </w:p>
    <w:p w14:paraId="2DB3E702">
      <w:pPr>
        <w:widowControl/>
        <w:jc w:val="left"/>
        <w:rPr>
          <w:rFonts w:hint="eastAsia" w:ascii="Times New Roman" w:hAnsi="Times New Roman" w:eastAsia="仿宋" w:cs="Times New Roman"/>
          <w:sz w:val="28"/>
          <w:szCs w:val="28"/>
        </w:rPr>
        <w:sectPr>
          <w:footerReference r:id="rId3" w:type="default"/>
          <w:pgSz w:w="11906" w:h="16838"/>
          <w:pgMar w:top="1440" w:right="1800" w:bottom="1440" w:left="1800" w:header="851" w:footer="992" w:gutter="0"/>
          <w:pgNumType w:fmt="numberInDash"/>
          <w:cols w:space="720" w:num="1"/>
          <w:docGrid w:type="lines" w:linePitch="312" w:charSpace="0"/>
        </w:sectPr>
      </w:pPr>
    </w:p>
    <w:bookmarkEnd w:id="3"/>
    <w:p w14:paraId="29F7F17C">
      <w:pPr>
        <w:rPr>
          <w:rFonts w:hint="eastAsia" w:ascii="黑体" w:hAnsi="黑体" w:eastAsia="黑体" w:cs="黑体"/>
          <w:kern w:val="0"/>
          <w:sz w:val="32"/>
          <w:szCs w:val="32"/>
        </w:rPr>
      </w:pPr>
      <w:r>
        <w:rPr>
          <w:rFonts w:hint="eastAsia" w:ascii="黑体" w:hAnsi="黑体" w:eastAsia="黑体" w:cs="黑体"/>
          <w:kern w:val="0"/>
          <w:sz w:val="32"/>
          <w:szCs w:val="32"/>
        </w:rPr>
        <w:t>附表1</w:t>
      </w:r>
    </w:p>
    <w:p w14:paraId="267F0ED2">
      <w:pPr>
        <w:jc w:val="center"/>
        <w:rPr>
          <w:rFonts w:ascii="Times New Roman" w:hAnsi="Times New Roman" w:cs="Times New Roman"/>
          <w:b/>
          <w:sz w:val="44"/>
          <w:szCs w:val="44"/>
        </w:rPr>
      </w:pPr>
      <w:r>
        <w:rPr>
          <w:rFonts w:ascii="Times New Roman" w:hAnsi="Times New Roman" w:cs="Times New Roman"/>
          <w:b/>
          <w:sz w:val="44"/>
          <w:szCs w:val="44"/>
        </w:rPr>
        <w:t>各类科研成果</w:t>
      </w:r>
      <w:r>
        <w:rPr>
          <w:rFonts w:hint="eastAsia" w:ascii="Times New Roman" w:hAnsi="Times New Roman" w:cs="Times New Roman"/>
          <w:b/>
          <w:sz w:val="44"/>
          <w:szCs w:val="44"/>
        </w:rPr>
        <w:t>业绩指数</w:t>
      </w:r>
      <w:r>
        <w:rPr>
          <w:rFonts w:ascii="Times New Roman" w:hAnsi="Times New Roman" w:cs="Times New Roman"/>
          <w:b/>
          <w:sz w:val="44"/>
          <w:szCs w:val="44"/>
        </w:rPr>
        <w:t>标准</w:t>
      </w:r>
    </w:p>
    <w:p w14:paraId="0EDAA5CE">
      <w:pPr>
        <w:wordWrap w:val="0"/>
        <w:jc w:val="right"/>
        <w:rPr>
          <w:rFonts w:ascii="Times New Roman" w:hAnsi="Times New Roman" w:cs="Times New Roman"/>
          <w:sz w:val="24"/>
          <w:szCs w:val="24"/>
        </w:rPr>
      </w:pPr>
      <w:r>
        <w:rPr>
          <w:rFonts w:ascii="Times New Roman" w:hAnsi="Times New Roman" w:cs="Times New Roman"/>
          <w:sz w:val="24"/>
          <w:szCs w:val="24"/>
        </w:rPr>
        <w:t xml:space="preserve">             （单位：</w:t>
      </w:r>
      <w:r>
        <w:rPr>
          <w:rFonts w:hint="eastAsia" w:ascii="Times New Roman" w:hAnsi="Times New Roman" w:cs="Times New Roman"/>
          <w:sz w:val="24"/>
          <w:szCs w:val="24"/>
        </w:rPr>
        <w:t>指数</w:t>
      </w:r>
      <w:r>
        <w:rPr>
          <w:rFonts w:ascii="Times New Roman" w:hAnsi="Times New Roman" w:cs="Times New Roman"/>
          <w:sz w:val="24"/>
          <w:szCs w:val="24"/>
        </w:rPr>
        <w:t>）</w:t>
      </w:r>
    </w:p>
    <w:p w14:paraId="55908AD0">
      <w:pPr>
        <w:wordWrap/>
        <w:jc w:val="right"/>
        <w:rPr>
          <w:rFonts w:ascii="Times New Roman" w:hAnsi="Times New Roman" w:cs="Times New Roman"/>
          <w:sz w:val="24"/>
          <w:szCs w:val="24"/>
        </w:rPr>
      </w:pPr>
    </w:p>
    <w:tbl>
      <w:tblPr>
        <w:tblStyle w:val="7"/>
        <w:tblW w:w="99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8"/>
        <w:gridCol w:w="1634"/>
        <w:gridCol w:w="441"/>
        <w:gridCol w:w="1260"/>
        <w:gridCol w:w="60"/>
        <w:gridCol w:w="882"/>
        <w:gridCol w:w="879"/>
        <w:gridCol w:w="61"/>
        <w:gridCol w:w="1262"/>
        <w:gridCol w:w="438"/>
        <w:gridCol w:w="1765"/>
      </w:tblGrid>
      <w:tr w14:paraId="1395B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jc w:val="center"/>
        </w:trPr>
        <w:tc>
          <w:tcPr>
            <w:tcW w:w="9920" w:type="dxa"/>
            <w:gridSpan w:val="11"/>
            <w:shd w:val="clear" w:color="auto" w:fill="DCD8C2"/>
            <w:noWrap w:val="0"/>
            <w:vAlign w:val="center"/>
          </w:tcPr>
          <w:p w14:paraId="21CAB622">
            <w:pPr>
              <w:snapToGrid w:val="0"/>
              <w:spacing w:line="240" w:lineRule="exact"/>
              <w:jc w:val="center"/>
              <w:rPr>
                <w:rFonts w:ascii="Times New Roman" w:hAnsi="Times New Roman" w:cs="Times New Roman"/>
                <w:sz w:val="18"/>
                <w:szCs w:val="18"/>
              </w:rPr>
            </w:pPr>
          </w:p>
        </w:tc>
      </w:tr>
      <w:tr w14:paraId="2A2D9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3" w:hRule="atLeast"/>
          <w:jc w:val="center"/>
        </w:trPr>
        <w:tc>
          <w:tcPr>
            <w:tcW w:w="1238" w:type="dxa"/>
            <w:vMerge w:val="restart"/>
            <w:noWrap w:val="0"/>
            <w:vAlign w:val="center"/>
          </w:tcPr>
          <w:p w14:paraId="7B2C1BDD">
            <w:pPr>
              <w:snapToGrid w:val="0"/>
              <w:spacing w:line="240" w:lineRule="exact"/>
              <w:jc w:val="center"/>
              <w:rPr>
                <w:rFonts w:ascii="Times New Roman" w:hAnsi="Times New Roman" w:cs="Times New Roman"/>
                <w:b/>
                <w:bCs/>
                <w:sz w:val="21"/>
                <w:szCs w:val="21"/>
              </w:rPr>
            </w:pPr>
            <w:r>
              <w:rPr>
                <w:rFonts w:ascii="Times New Roman" w:hAnsi="Times New Roman" w:cs="Times New Roman"/>
                <w:b/>
                <w:bCs/>
                <w:sz w:val="21"/>
                <w:szCs w:val="21"/>
              </w:rPr>
              <w:t>政府性科研成果奖</w:t>
            </w:r>
          </w:p>
        </w:tc>
        <w:tc>
          <w:tcPr>
            <w:tcW w:w="3395" w:type="dxa"/>
            <w:gridSpan w:val="4"/>
            <w:noWrap w:val="0"/>
            <w:vAlign w:val="center"/>
          </w:tcPr>
          <w:p w14:paraId="36C39186">
            <w:pPr>
              <w:snapToGrid w:val="0"/>
              <w:spacing w:line="240" w:lineRule="exact"/>
              <w:jc w:val="center"/>
              <w:rPr>
                <w:rFonts w:ascii="Times New Roman" w:hAnsi="Times New Roman" w:cs="Times New Roman"/>
                <w:sz w:val="21"/>
                <w:szCs w:val="21"/>
              </w:rPr>
            </w:pPr>
            <w:r>
              <w:rPr>
                <w:rFonts w:ascii="Times New Roman" w:hAnsi="Times New Roman" w:cs="Times New Roman"/>
                <w:sz w:val="21"/>
                <w:szCs w:val="21"/>
              </w:rPr>
              <w:t>国家级</w:t>
            </w:r>
          </w:p>
        </w:tc>
        <w:tc>
          <w:tcPr>
            <w:tcW w:w="5287" w:type="dxa"/>
            <w:gridSpan w:val="6"/>
            <w:noWrap w:val="0"/>
            <w:vAlign w:val="center"/>
          </w:tcPr>
          <w:p w14:paraId="6C1D75CB">
            <w:pPr>
              <w:snapToGrid w:val="0"/>
              <w:spacing w:line="240" w:lineRule="exact"/>
              <w:jc w:val="center"/>
              <w:rPr>
                <w:rFonts w:ascii="Times New Roman" w:hAnsi="Times New Roman" w:cs="Times New Roman"/>
                <w:sz w:val="21"/>
                <w:szCs w:val="21"/>
              </w:rPr>
            </w:pPr>
            <w:r>
              <w:rPr>
                <w:rFonts w:ascii="Times New Roman" w:hAnsi="Times New Roman" w:cs="Times New Roman"/>
                <w:sz w:val="21"/>
                <w:szCs w:val="21"/>
              </w:rPr>
              <w:t>省（部）级</w:t>
            </w:r>
          </w:p>
        </w:tc>
      </w:tr>
      <w:tr w14:paraId="06B21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1" w:hRule="atLeast"/>
          <w:jc w:val="center"/>
        </w:trPr>
        <w:tc>
          <w:tcPr>
            <w:tcW w:w="1238" w:type="dxa"/>
            <w:vMerge w:val="continue"/>
            <w:noWrap w:val="0"/>
            <w:vAlign w:val="center"/>
          </w:tcPr>
          <w:p w14:paraId="270FFCAF">
            <w:pPr>
              <w:snapToGrid w:val="0"/>
              <w:spacing w:line="240" w:lineRule="exact"/>
              <w:jc w:val="center"/>
              <w:rPr>
                <w:rFonts w:ascii="Times New Roman" w:hAnsi="Times New Roman" w:cs="Times New Roman"/>
                <w:b/>
                <w:bCs/>
                <w:sz w:val="21"/>
                <w:szCs w:val="21"/>
              </w:rPr>
            </w:pPr>
          </w:p>
        </w:tc>
        <w:tc>
          <w:tcPr>
            <w:tcW w:w="1634" w:type="dxa"/>
            <w:noWrap w:val="0"/>
            <w:vAlign w:val="center"/>
          </w:tcPr>
          <w:p w14:paraId="72CF1F75">
            <w:pPr>
              <w:snapToGrid w:val="0"/>
              <w:spacing w:line="240" w:lineRule="exact"/>
              <w:jc w:val="center"/>
              <w:rPr>
                <w:rFonts w:ascii="Times New Roman" w:hAnsi="Times New Roman" w:cs="Times New Roman"/>
                <w:sz w:val="21"/>
                <w:szCs w:val="21"/>
              </w:rPr>
            </w:pPr>
            <w:r>
              <w:rPr>
                <w:rFonts w:ascii="Times New Roman" w:hAnsi="Times New Roman" w:cs="Times New Roman"/>
                <w:sz w:val="21"/>
                <w:szCs w:val="21"/>
              </w:rPr>
              <w:t>一等奖</w:t>
            </w:r>
          </w:p>
        </w:tc>
        <w:tc>
          <w:tcPr>
            <w:tcW w:w="1761" w:type="dxa"/>
            <w:gridSpan w:val="3"/>
            <w:noWrap w:val="0"/>
            <w:vAlign w:val="center"/>
          </w:tcPr>
          <w:p w14:paraId="4B674DCE">
            <w:pPr>
              <w:snapToGrid w:val="0"/>
              <w:spacing w:line="240" w:lineRule="exact"/>
              <w:jc w:val="center"/>
              <w:rPr>
                <w:rFonts w:ascii="Times New Roman" w:hAnsi="Times New Roman" w:cs="Times New Roman"/>
                <w:sz w:val="21"/>
                <w:szCs w:val="21"/>
              </w:rPr>
            </w:pPr>
            <w:r>
              <w:rPr>
                <w:rFonts w:ascii="Times New Roman" w:hAnsi="Times New Roman" w:cs="Times New Roman"/>
                <w:sz w:val="21"/>
                <w:szCs w:val="21"/>
              </w:rPr>
              <w:t>二等奖</w:t>
            </w:r>
          </w:p>
        </w:tc>
        <w:tc>
          <w:tcPr>
            <w:tcW w:w="1761" w:type="dxa"/>
            <w:gridSpan w:val="2"/>
            <w:noWrap w:val="0"/>
            <w:vAlign w:val="center"/>
          </w:tcPr>
          <w:p w14:paraId="1C612494">
            <w:pPr>
              <w:snapToGrid w:val="0"/>
              <w:spacing w:line="240" w:lineRule="exact"/>
              <w:jc w:val="center"/>
              <w:rPr>
                <w:rFonts w:ascii="Times New Roman" w:hAnsi="Times New Roman" w:cs="Times New Roman"/>
                <w:sz w:val="21"/>
                <w:szCs w:val="21"/>
              </w:rPr>
            </w:pPr>
            <w:r>
              <w:rPr>
                <w:rFonts w:ascii="Times New Roman" w:hAnsi="Times New Roman" w:cs="Times New Roman"/>
                <w:sz w:val="21"/>
                <w:szCs w:val="21"/>
              </w:rPr>
              <w:t>一等奖</w:t>
            </w:r>
          </w:p>
        </w:tc>
        <w:tc>
          <w:tcPr>
            <w:tcW w:w="1761" w:type="dxa"/>
            <w:gridSpan w:val="3"/>
            <w:noWrap w:val="0"/>
            <w:vAlign w:val="center"/>
          </w:tcPr>
          <w:p w14:paraId="5001F2AA">
            <w:pPr>
              <w:snapToGrid w:val="0"/>
              <w:spacing w:line="240" w:lineRule="exact"/>
              <w:jc w:val="center"/>
              <w:rPr>
                <w:rFonts w:ascii="Times New Roman" w:hAnsi="Times New Roman" w:cs="Times New Roman"/>
                <w:sz w:val="21"/>
                <w:szCs w:val="21"/>
              </w:rPr>
            </w:pPr>
            <w:r>
              <w:rPr>
                <w:rFonts w:ascii="Times New Roman" w:hAnsi="Times New Roman" w:cs="Times New Roman"/>
                <w:sz w:val="21"/>
                <w:szCs w:val="21"/>
              </w:rPr>
              <w:t>二等奖</w:t>
            </w:r>
          </w:p>
        </w:tc>
        <w:tc>
          <w:tcPr>
            <w:tcW w:w="1765" w:type="dxa"/>
            <w:noWrap w:val="0"/>
            <w:vAlign w:val="center"/>
          </w:tcPr>
          <w:p w14:paraId="1C305EEE">
            <w:pPr>
              <w:snapToGrid w:val="0"/>
              <w:spacing w:line="240" w:lineRule="exact"/>
              <w:jc w:val="center"/>
              <w:rPr>
                <w:rFonts w:ascii="Times New Roman" w:hAnsi="Times New Roman" w:cs="Times New Roman"/>
                <w:sz w:val="21"/>
                <w:szCs w:val="21"/>
              </w:rPr>
            </w:pPr>
            <w:r>
              <w:rPr>
                <w:rFonts w:ascii="Times New Roman" w:hAnsi="Times New Roman" w:cs="Times New Roman"/>
                <w:sz w:val="21"/>
                <w:szCs w:val="21"/>
              </w:rPr>
              <w:t>三等奖</w:t>
            </w:r>
          </w:p>
        </w:tc>
      </w:tr>
      <w:tr w14:paraId="1FD83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0" w:hRule="atLeast"/>
          <w:jc w:val="center"/>
        </w:trPr>
        <w:tc>
          <w:tcPr>
            <w:tcW w:w="1238" w:type="dxa"/>
            <w:noWrap w:val="0"/>
            <w:vAlign w:val="center"/>
          </w:tcPr>
          <w:p w14:paraId="3683214F">
            <w:pPr>
              <w:snapToGrid w:val="0"/>
              <w:spacing w:line="240" w:lineRule="exact"/>
              <w:jc w:val="center"/>
              <w:rPr>
                <w:rFonts w:ascii="Times New Roman" w:hAnsi="Times New Roman" w:cs="Times New Roman"/>
                <w:sz w:val="21"/>
                <w:szCs w:val="21"/>
              </w:rPr>
            </w:pPr>
            <w:r>
              <w:rPr>
                <w:rFonts w:ascii="Times New Roman" w:hAnsi="Times New Roman" w:cs="Times New Roman"/>
                <w:sz w:val="21"/>
                <w:szCs w:val="21"/>
              </w:rPr>
              <w:t>（</w:t>
            </w:r>
            <w:r>
              <w:rPr>
                <w:rFonts w:hint="eastAsia" w:ascii="Times New Roman" w:hAnsi="Times New Roman" w:cs="Times New Roman"/>
                <w:kern w:val="0"/>
                <w:sz w:val="21"/>
                <w:szCs w:val="21"/>
              </w:rPr>
              <w:t>指数</w:t>
            </w:r>
            <w:r>
              <w:rPr>
                <w:rFonts w:ascii="Times New Roman" w:hAnsi="Times New Roman" w:cs="Times New Roman"/>
                <w:sz w:val="21"/>
                <w:szCs w:val="21"/>
              </w:rPr>
              <w:t>/项）</w:t>
            </w:r>
          </w:p>
        </w:tc>
        <w:tc>
          <w:tcPr>
            <w:tcW w:w="1634" w:type="dxa"/>
            <w:noWrap w:val="0"/>
            <w:vAlign w:val="center"/>
          </w:tcPr>
          <w:p w14:paraId="4EEFF662">
            <w:pPr>
              <w:jc w:val="center"/>
              <w:rPr>
                <w:rFonts w:ascii="Times New Roman" w:hAnsi="Times New Roman" w:cs="Times New Roman"/>
                <w:sz w:val="21"/>
                <w:szCs w:val="21"/>
              </w:rPr>
            </w:pPr>
            <w:r>
              <w:rPr>
                <w:rFonts w:hint="eastAsia" w:ascii="Times New Roman" w:hAnsi="Times New Roman" w:eastAsia="宋体" w:cs="Times New Roman"/>
                <w:kern w:val="0"/>
                <w:sz w:val="21"/>
                <w:szCs w:val="21"/>
              </w:rPr>
              <w:t>12000</w:t>
            </w:r>
          </w:p>
        </w:tc>
        <w:tc>
          <w:tcPr>
            <w:tcW w:w="1761" w:type="dxa"/>
            <w:gridSpan w:val="3"/>
            <w:noWrap w:val="0"/>
            <w:vAlign w:val="center"/>
          </w:tcPr>
          <w:p w14:paraId="14CF566F">
            <w:pPr>
              <w:jc w:val="center"/>
              <w:rPr>
                <w:rFonts w:ascii="Times New Roman" w:hAnsi="Times New Roman" w:cs="Times New Roman"/>
                <w:sz w:val="21"/>
                <w:szCs w:val="21"/>
              </w:rPr>
            </w:pPr>
            <w:r>
              <w:rPr>
                <w:rFonts w:hint="eastAsia" w:ascii="Times New Roman" w:hAnsi="Times New Roman" w:eastAsia="宋体" w:cs="Times New Roman"/>
                <w:kern w:val="0"/>
                <w:sz w:val="21"/>
                <w:szCs w:val="21"/>
              </w:rPr>
              <w:t>6000</w:t>
            </w:r>
          </w:p>
        </w:tc>
        <w:tc>
          <w:tcPr>
            <w:tcW w:w="1761" w:type="dxa"/>
            <w:gridSpan w:val="2"/>
            <w:noWrap w:val="0"/>
            <w:vAlign w:val="center"/>
          </w:tcPr>
          <w:p w14:paraId="33A9B806">
            <w:pPr>
              <w:jc w:val="center"/>
              <w:rPr>
                <w:rFonts w:ascii="Times New Roman" w:hAnsi="Times New Roman" w:cs="Times New Roman"/>
                <w:sz w:val="21"/>
                <w:szCs w:val="21"/>
              </w:rPr>
            </w:pPr>
            <w:r>
              <w:rPr>
                <w:rFonts w:hint="eastAsia" w:ascii="Times New Roman" w:hAnsi="Times New Roman" w:eastAsia="宋体" w:cs="Times New Roman"/>
                <w:kern w:val="0"/>
                <w:sz w:val="21"/>
                <w:szCs w:val="21"/>
              </w:rPr>
              <w:t>3000</w:t>
            </w:r>
          </w:p>
        </w:tc>
        <w:tc>
          <w:tcPr>
            <w:tcW w:w="1761" w:type="dxa"/>
            <w:gridSpan w:val="3"/>
            <w:noWrap w:val="0"/>
            <w:vAlign w:val="center"/>
          </w:tcPr>
          <w:p w14:paraId="10BC8C88">
            <w:pPr>
              <w:jc w:val="center"/>
              <w:rPr>
                <w:rFonts w:ascii="Times New Roman" w:hAnsi="Times New Roman" w:cs="Times New Roman"/>
                <w:sz w:val="21"/>
                <w:szCs w:val="21"/>
              </w:rPr>
            </w:pPr>
            <w:r>
              <w:rPr>
                <w:rFonts w:hint="eastAsia" w:ascii="Times New Roman" w:hAnsi="Times New Roman" w:eastAsia="宋体" w:cs="Times New Roman"/>
                <w:kern w:val="0"/>
                <w:sz w:val="21"/>
                <w:szCs w:val="21"/>
              </w:rPr>
              <w:t>2000</w:t>
            </w:r>
          </w:p>
        </w:tc>
        <w:tc>
          <w:tcPr>
            <w:tcW w:w="1765" w:type="dxa"/>
            <w:noWrap w:val="0"/>
            <w:vAlign w:val="center"/>
          </w:tcPr>
          <w:p w14:paraId="4B995401">
            <w:pPr>
              <w:jc w:val="center"/>
              <w:rPr>
                <w:rFonts w:ascii="Times New Roman" w:hAnsi="Times New Roman" w:cs="Times New Roman"/>
                <w:sz w:val="21"/>
                <w:szCs w:val="21"/>
              </w:rPr>
            </w:pPr>
            <w:r>
              <w:rPr>
                <w:rFonts w:hint="eastAsia" w:ascii="Times New Roman" w:hAnsi="Times New Roman" w:eastAsia="宋体" w:cs="Times New Roman"/>
                <w:kern w:val="0"/>
                <w:sz w:val="21"/>
                <w:szCs w:val="21"/>
              </w:rPr>
              <w:t>1200</w:t>
            </w:r>
          </w:p>
        </w:tc>
      </w:tr>
      <w:tr w14:paraId="735AC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jc w:val="center"/>
        </w:trPr>
        <w:tc>
          <w:tcPr>
            <w:tcW w:w="9920" w:type="dxa"/>
            <w:gridSpan w:val="11"/>
            <w:shd w:val="clear" w:color="auto" w:fill="DCD8C2"/>
            <w:noWrap w:val="0"/>
            <w:vAlign w:val="center"/>
          </w:tcPr>
          <w:p w14:paraId="089242B8">
            <w:pPr>
              <w:snapToGrid w:val="0"/>
              <w:spacing w:line="240" w:lineRule="exact"/>
              <w:jc w:val="center"/>
              <w:rPr>
                <w:rFonts w:ascii="Times New Roman" w:hAnsi="Times New Roman" w:cs="Times New Roman"/>
                <w:sz w:val="21"/>
                <w:szCs w:val="21"/>
              </w:rPr>
            </w:pPr>
          </w:p>
        </w:tc>
      </w:tr>
      <w:tr w14:paraId="1E14E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3" w:hRule="atLeast"/>
          <w:jc w:val="center"/>
        </w:trPr>
        <w:tc>
          <w:tcPr>
            <w:tcW w:w="1238" w:type="dxa"/>
            <w:vMerge w:val="restart"/>
            <w:noWrap w:val="0"/>
            <w:vAlign w:val="center"/>
          </w:tcPr>
          <w:p w14:paraId="0EFF6FAA">
            <w:pPr>
              <w:snapToGrid w:val="0"/>
              <w:spacing w:line="240" w:lineRule="exact"/>
              <w:jc w:val="center"/>
              <w:rPr>
                <w:rFonts w:ascii="Times New Roman" w:hAnsi="Times New Roman" w:cs="Times New Roman"/>
                <w:b/>
                <w:bCs/>
                <w:sz w:val="21"/>
                <w:szCs w:val="21"/>
              </w:rPr>
            </w:pPr>
            <w:r>
              <w:rPr>
                <w:rFonts w:ascii="Times New Roman" w:hAnsi="Times New Roman" w:cs="Times New Roman"/>
                <w:b/>
                <w:bCs/>
                <w:sz w:val="21"/>
                <w:szCs w:val="21"/>
              </w:rPr>
              <w:t>纵向指令性科研项目</w:t>
            </w:r>
          </w:p>
        </w:tc>
        <w:tc>
          <w:tcPr>
            <w:tcW w:w="4277" w:type="dxa"/>
            <w:gridSpan w:val="5"/>
            <w:noWrap w:val="0"/>
            <w:vAlign w:val="center"/>
          </w:tcPr>
          <w:p w14:paraId="387E0A01">
            <w:pPr>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国家级</w:t>
            </w:r>
          </w:p>
        </w:tc>
        <w:tc>
          <w:tcPr>
            <w:tcW w:w="4405" w:type="dxa"/>
            <w:gridSpan w:val="5"/>
            <w:noWrap w:val="0"/>
            <w:vAlign w:val="center"/>
          </w:tcPr>
          <w:p w14:paraId="0F7CAB07">
            <w:pPr>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省部级</w:t>
            </w:r>
          </w:p>
        </w:tc>
      </w:tr>
      <w:tr w14:paraId="46A58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8" w:hRule="atLeast"/>
          <w:jc w:val="center"/>
        </w:trPr>
        <w:tc>
          <w:tcPr>
            <w:tcW w:w="1238" w:type="dxa"/>
            <w:vMerge w:val="continue"/>
            <w:noWrap w:val="0"/>
            <w:vAlign w:val="center"/>
          </w:tcPr>
          <w:p w14:paraId="5A20E79D">
            <w:pPr>
              <w:jc w:val="center"/>
              <w:rPr>
                <w:rFonts w:ascii="Times New Roman" w:hAnsi="Times New Roman" w:cs="Times New Roman"/>
                <w:sz w:val="21"/>
                <w:szCs w:val="21"/>
              </w:rPr>
            </w:pPr>
          </w:p>
        </w:tc>
        <w:tc>
          <w:tcPr>
            <w:tcW w:w="2075" w:type="dxa"/>
            <w:gridSpan w:val="2"/>
            <w:noWrap w:val="0"/>
            <w:vAlign w:val="center"/>
          </w:tcPr>
          <w:p w14:paraId="0AFC59BA">
            <w:pPr>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立项</w:t>
            </w:r>
          </w:p>
        </w:tc>
        <w:tc>
          <w:tcPr>
            <w:tcW w:w="2202" w:type="dxa"/>
            <w:gridSpan w:val="3"/>
            <w:noWrap w:val="0"/>
            <w:vAlign w:val="center"/>
          </w:tcPr>
          <w:p w14:paraId="7652E879">
            <w:pPr>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结项</w:t>
            </w:r>
          </w:p>
        </w:tc>
        <w:tc>
          <w:tcPr>
            <w:tcW w:w="2202" w:type="dxa"/>
            <w:gridSpan w:val="3"/>
            <w:noWrap w:val="0"/>
            <w:vAlign w:val="center"/>
          </w:tcPr>
          <w:p w14:paraId="03EEF91F">
            <w:pPr>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立项</w:t>
            </w:r>
          </w:p>
        </w:tc>
        <w:tc>
          <w:tcPr>
            <w:tcW w:w="2203" w:type="dxa"/>
            <w:gridSpan w:val="2"/>
            <w:noWrap w:val="0"/>
            <w:vAlign w:val="center"/>
          </w:tcPr>
          <w:p w14:paraId="5B8CB04E">
            <w:pPr>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结项</w:t>
            </w:r>
          </w:p>
        </w:tc>
      </w:tr>
      <w:tr w14:paraId="40300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6" w:hRule="atLeast"/>
          <w:jc w:val="center"/>
        </w:trPr>
        <w:tc>
          <w:tcPr>
            <w:tcW w:w="1238" w:type="dxa"/>
            <w:noWrap w:val="0"/>
            <w:vAlign w:val="center"/>
          </w:tcPr>
          <w:p w14:paraId="70C26747">
            <w:pPr>
              <w:snapToGrid w:val="0"/>
              <w:spacing w:line="240" w:lineRule="exact"/>
              <w:jc w:val="center"/>
              <w:rPr>
                <w:rFonts w:ascii="Times New Roman" w:hAnsi="Times New Roman" w:cs="Times New Roman"/>
                <w:b/>
                <w:bCs/>
                <w:sz w:val="21"/>
                <w:szCs w:val="21"/>
              </w:rPr>
            </w:pPr>
            <w:r>
              <w:rPr>
                <w:rFonts w:ascii="Times New Roman" w:hAnsi="Times New Roman" w:cs="Times New Roman"/>
                <w:sz w:val="21"/>
                <w:szCs w:val="21"/>
              </w:rPr>
              <w:t>（</w:t>
            </w:r>
            <w:r>
              <w:rPr>
                <w:rFonts w:hint="eastAsia" w:ascii="Times New Roman" w:hAnsi="Times New Roman" w:cs="Times New Roman"/>
                <w:kern w:val="0"/>
                <w:sz w:val="21"/>
                <w:szCs w:val="21"/>
              </w:rPr>
              <w:t>指数</w:t>
            </w:r>
            <w:r>
              <w:rPr>
                <w:rFonts w:ascii="Times New Roman" w:hAnsi="Times New Roman" w:cs="Times New Roman"/>
                <w:sz w:val="21"/>
                <w:szCs w:val="21"/>
              </w:rPr>
              <w:t>/项）</w:t>
            </w:r>
          </w:p>
        </w:tc>
        <w:tc>
          <w:tcPr>
            <w:tcW w:w="2075" w:type="dxa"/>
            <w:gridSpan w:val="2"/>
            <w:noWrap w:val="0"/>
            <w:vAlign w:val="center"/>
          </w:tcPr>
          <w:p w14:paraId="51D306CE">
            <w:pPr>
              <w:jc w:val="center"/>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rPr>
              <w:t>1600</w:t>
            </w:r>
          </w:p>
        </w:tc>
        <w:tc>
          <w:tcPr>
            <w:tcW w:w="2202" w:type="dxa"/>
            <w:gridSpan w:val="3"/>
            <w:noWrap w:val="0"/>
            <w:vAlign w:val="center"/>
          </w:tcPr>
          <w:p w14:paraId="6C859BFF">
            <w:pPr>
              <w:jc w:val="center"/>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rPr>
              <w:t>1600</w:t>
            </w:r>
          </w:p>
        </w:tc>
        <w:tc>
          <w:tcPr>
            <w:tcW w:w="2202" w:type="dxa"/>
            <w:gridSpan w:val="3"/>
            <w:noWrap w:val="0"/>
            <w:vAlign w:val="center"/>
          </w:tcPr>
          <w:p w14:paraId="781E3979">
            <w:pPr>
              <w:jc w:val="center"/>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rPr>
              <w:t>600</w:t>
            </w:r>
          </w:p>
        </w:tc>
        <w:tc>
          <w:tcPr>
            <w:tcW w:w="2203" w:type="dxa"/>
            <w:gridSpan w:val="2"/>
            <w:noWrap w:val="0"/>
            <w:vAlign w:val="center"/>
          </w:tcPr>
          <w:p w14:paraId="2BA24BCC">
            <w:pPr>
              <w:jc w:val="center"/>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rPr>
              <w:t>600</w:t>
            </w:r>
          </w:p>
        </w:tc>
      </w:tr>
      <w:tr w14:paraId="49D71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jc w:val="center"/>
        </w:trPr>
        <w:tc>
          <w:tcPr>
            <w:tcW w:w="9920" w:type="dxa"/>
            <w:gridSpan w:val="11"/>
            <w:shd w:val="clear" w:color="auto" w:fill="DCD8C2"/>
            <w:noWrap w:val="0"/>
            <w:vAlign w:val="center"/>
          </w:tcPr>
          <w:p w14:paraId="4F7631C2">
            <w:pPr>
              <w:snapToGrid w:val="0"/>
              <w:spacing w:line="240" w:lineRule="exact"/>
              <w:jc w:val="center"/>
              <w:rPr>
                <w:rFonts w:ascii="Times New Roman" w:hAnsi="Times New Roman" w:cs="Times New Roman"/>
                <w:sz w:val="21"/>
                <w:szCs w:val="21"/>
              </w:rPr>
            </w:pPr>
          </w:p>
        </w:tc>
      </w:tr>
      <w:tr w14:paraId="0F984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7" w:hRule="atLeast"/>
          <w:jc w:val="center"/>
        </w:trPr>
        <w:tc>
          <w:tcPr>
            <w:tcW w:w="1238" w:type="dxa"/>
            <w:vMerge w:val="restart"/>
            <w:noWrap w:val="0"/>
            <w:vAlign w:val="center"/>
          </w:tcPr>
          <w:p w14:paraId="0A4AE56D">
            <w:pPr>
              <w:snapToGrid w:val="0"/>
              <w:spacing w:line="240" w:lineRule="exact"/>
              <w:jc w:val="center"/>
              <w:rPr>
                <w:rFonts w:ascii="Times New Roman" w:hAnsi="Times New Roman" w:cs="Times New Roman"/>
                <w:b/>
                <w:bCs/>
                <w:sz w:val="21"/>
                <w:szCs w:val="21"/>
              </w:rPr>
            </w:pPr>
            <w:r>
              <w:rPr>
                <w:rFonts w:ascii="Times New Roman" w:hAnsi="Times New Roman" w:cs="Times New Roman"/>
                <w:b/>
                <w:bCs/>
                <w:sz w:val="21"/>
                <w:szCs w:val="21"/>
              </w:rPr>
              <w:t>横向</w:t>
            </w:r>
          </w:p>
          <w:p w14:paraId="0B5A4507">
            <w:pPr>
              <w:snapToGrid w:val="0"/>
              <w:spacing w:line="240" w:lineRule="exact"/>
              <w:jc w:val="center"/>
              <w:rPr>
                <w:rFonts w:ascii="Times New Roman" w:hAnsi="Times New Roman" w:cs="Times New Roman"/>
                <w:b/>
                <w:bCs/>
                <w:sz w:val="21"/>
                <w:szCs w:val="21"/>
              </w:rPr>
            </w:pPr>
            <w:r>
              <w:rPr>
                <w:rFonts w:ascii="Times New Roman" w:hAnsi="Times New Roman" w:cs="Times New Roman"/>
                <w:b/>
                <w:bCs/>
                <w:sz w:val="21"/>
                <w:szCs w:val="21"/>
              </w:rPr>
              <w:t>科研项目</w:t>
            </w:r>
          </w:p>
        </w:tc>
        <w:tc>
          <w:tcPr>
            <w:tcW w:w="4277" w:type="dxa"/>
            <w:gridSpan w:val="5"/>
            <w:noWrap w:val="0"/>
            <w:vAlign w:val="center"/>
          </w:tcPr>
          <w:p w14:paraId="12BBDA77">
            <w:pPr>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单项合同到账经费200万元（含）以上</w:t>
            </w:r>
          </w:p>
        </w:tc>
        <w:tc>
          <w:tcPr>
            <w:tcW w:w="4405" w:type="dxa"/>
            <w:gridSpan w:val="5"/>
            <w:noWrap w:val="0"/>
            <w:vAlign w:val="center"/>
          </w:tcPr>
          <w:p w14:paraId="2EB3CE0F">
            <w:pPr>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单项合同到账经费100万元（含）以上</w:t>
            </w:r>
          </w:p>
        </w:tc>
      </w:tr>
      <w:tr w14:paraId="309E0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3" w:hRule="atLeast"/>
          <w:jc w:val="center"/>
        </w:trPr>
        <w:tc>
          <w:tcPr>
            <w:tcW w:w="1238" w:type="dxa"/>
            <w:vMerge w:val="continue"/>
            <w:noWrap w:val="0"/>
            <w:vAlign w:val="center"/>
          </w:tcPr>
          <w:p w14:paraId="124C4C23">
            <w:pPr>
              <w:jc w:val="center"/>
              <w:rPr>
                <w:rFonts w:ascii="Times New Roman" w:hAnsi="Times New Roman" w:cs="Times New Roman"/>
                <w:sz w:val="21"/>
                <w:szCs w:val="21"/>
              </w:rPr>
            </w:pPr>
          </w:p>
        </w:tc>
        <w:tc>
          <w:tcPr>
            <w:tcW w:w="2075" w:type="dxa"/>
            <w:gridSpan w:val="2"/>
            <w:noWrap w:val="0"/>
            <w:vAlign w:val="center"/>
          </w:tcPr>
          <w:p w14:paraId="60B0AE3A">
            <w:pPr>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立项</w:t>
            </w:r>
          </w:p>
        </w:tc>
        <w:tc>
          <w:tcPr>
            <w:tcW w:w="2202" w:type="dxa"/>
            <w:gridSpan w:val="3"/>
            <w:noWrap w:val="0"/>
            <w:vAlign w:val="center"/>
          </w:tcPr>
          <w:p w14:paraId="00AD73AD">
            <w:pPr>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结项</w:t>
            </w:r>
          </w:p>
        </w:tc>
        <w:tc>
          <w:tcPr>
            <w:tcW w:w="2202" w:type="dxa"/>
            <w:gridSpan w:val="3"/>
            <w:noWrap w:val="0"/>
            <w:vAlign w:val="center"/>
          </w:tcPr>
          <w:p w14:paraId="08E1702F">
            <w:pPr>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立项</w:t>
            </w:r>
          </w:p>
        </w:tc>
        <w:tc>
          <w:tcPr>
            <w:tcW w:w="2203" w:type="dxa"/>
            <w:gridSpan w:val="2"/>
            <w:noWrap w:val="0"/>
            <w:vAlign w:val="center"/>
          </w:tcPr>
          <w:p w14:paraId="7CA5C1B2">
            <w:pPr>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结项</w:t>
            </w:r>
          </w:p>
        </w:tc>
      </w:tr>
      <w:tr w14:paraId="4C689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1" w:hRule="atLeast"/>
          <w:jc w:val="center"/>
        </w:trPr>
        <w:tc>
          <w:tcPr>
            <w:tcW w:w="1238" w:type="dxa"/>
            <w:noWrap w:val="0"/>
            <w:vAlign w:val="center"/>
          </w:tcPr>
          <w:p w14:paraId="59665156">
            <w:pPr>
              <w:snapToGrid w:val="0"/>
              <w:spacing w:line="240" w:lineRule="exact"/>
              <w:jc w:val="center"/>
              <w:rPr>
                <w:rFonts w:ascii="Times New Roman" w:hAnsi="Times New Roman" w:cs="Times New Roman"/>
                <w:b/>
                <w:bCs/>
                <w:sz w:val="21"/>
                <w:szCs w:val="21"/>
              </w:rPr>
            </w:pPr>
            <w:r>
              <w:rPr>
                <w:rFonts w:ascii="Times New Roman" w:hAnsi="Times New Roman" w:cs="Times New Roman"/>
                <w:sz w:val="21"/>
                <w:szCs w:val="21"/>
              </w:rPr>
              <w:t>（</w:t>
            </w:r>
            <w:r>
              <w:rPr>
                <w:rFonts w:hint="eastAsia" w:ascii="Times New Roman" w:hAnsi="Times New Roman" w:cs="Times New Roman"/>
                <w:kern w:val="0"/>
                <w:sz w:val="21"/>
                <w:szCs w:val="21"/>
              </w:rPr>
              <w:t>指数</w:t>
            </w:r>
            <w:r>
              <w:rPr>
                <w:rFonts w:ascii="Times New Roman" w:hAnsi="Times New Roman" w:cs="Times New Roman"/>
                <w:sz w:val="21"/>
                <w:szCs w:val="21"/>
              </w:rPr>
              <w:t>/项）</w:t>
            </w:r>
          </w:p>
        </w:tc>
        <w:tc>
          <w:tcPr>
            <w:tcW w:w="2075" w:type="dxa"/>
            <w:gridSpan w:val="2"/>
            <w:noWrap w:val="0"/>
            <w:vAlign w:val="center"/>
          </w:tcPr>
          <w:p w14:paraId="5C28C189">
            <w:pPr>
              <w:jc w:val="center"/>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rPr>
              <w:t>1600</w:t>
            </w:r>
          </w:p>
        </w:tc>
        <w:tc>
          <w:tcPr>
            <w:tcW w:w="2202" w:type="dxa"/>
            <w:gridSpan w:val="3"/>
            <w:noWrap w:val="0"/>
            <w:vAlign w:val="center"/>
          </w:tcPr>
          <w:p w14:paraId="1DD12C1D">
            <w:pPr>
              <w:jc w:val="center"/>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rPr>
              <w:t>1600</w:t>
            </w:r>
          </w:p>
        </w:tc>
        <w:tc>
          <w:tcPr>
            <w:tcW w:w="2202" w:type="dxa"/>
            <w:gridSpan w:val="3"/>
            <w:noWrap w:val="0"/>
            <w:vAlign w:val="center"/>
          </w:tcPr>
          <w:p w14:paraId="6818ED60">
            <w:pPr>
              <w:jc w:val="center"/>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rPr>
              <w:t>600</w:t>
            </w:r>
          </w:p>
        </w:tc>
        <w:tc>
          <w:tcPr>
            <w:tcW w:w="2203" w:type="dxa"/>
            <w:gridSpan w:val="2"/>
            <w:noWrap w:val="0"/>
            <w:vAlign w:val="center"/>
          </w:tcPr>
          <w:p w14:paraId="54E7498F">
            <w:pPr>
              <w:jc w:val="center"/>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rPr>
              <w:t>600</w:t>
            </w:r>
          </w:p>
        </w:tc>
      </w:tr>
      <w:tr w14:paraId="5DCDD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5" w:hRule="atLeast"/>
          <w:jc w:val="center"/>
        </w:trPr>
        <w:tc>
          <w:tcPr>
            <w:tcW w:w="9920" w:type="dxa"/>
            <w:gridSpan w:val="11"/>
            <w:shd w:val="clear" w:color="auto" w:fill="DCD8C2"/>
            <w:noWrap w:val="0"/>
            <w:vAlign w:val="center"/>
          </w:tcPr>
          <w:p w14:paraId="647F5D78">
            <w:pPr>
              <w:snapToGrid w:val="0"/>
              <w:spacing w:line="240" w:lineRule="exact"/>
              <w:jc w:val="center"/>
              <w:rPr>
                <w:rFonts w:ascii="Times New Roman" w:hAnsi="Times New Roman" w:cs="Times New Roman"/>
                <w:sz w:val="21"/>
                <w:szCs w:val="21"/>
              </w:rPr>
            </w:pPr>
          </w:p>
        </w:tc>
      </w:tr>
      <w:tr w14:paraId="76CCD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6" w:hRule="atLeast"/>
          <w:jc w:val="center"/>
        </w:trPr>
        <w:tc>
          <w:tcPr>
            <w:tcW w:w="1238" w:type="dxa"/>
            <w:noWrap w:val="0"/>
            <w:vAlign w:val="center"/>
          </w:tcPr>
          <w:p w14:paraId="53AF0A67">
            <w:pPr>
              <w:snapToGrid w:val="0"/>
              <w:spacing w:line="240" w:lineRule="exact"/>
              <w:jc w:val="center"/>
              <w:rPr>
                <w:rFonts w:ascii="Times New Roman" w:hAnsi="Times New Roman" w:cs="Times New Roman"/>
                <w:b/>
                <w:bCs/>
                <w:kern w:val="0"/>
                <w:sz w:val="21"/>
                <w:szCs w:val="21"/>
              </w:rPr>
            </w:pPr>
            <w:r>
              <w:rPr>
                <w:rFonts w:ascii="Times New Roman" w:hAnsi="Times New Roman" w:cs="Times New Roman"/>
                <w:b/>
                <w:bCs/>
                <w:sz w:val="21"/>
                <w:szCs w:val="21"/>
              </w:rPr>
              <w:t>学术论文</w:t>
            </w:r>
          </w:p>
        </w:tc>
        <w:tc>
          <w:tcPr>
            <w:tcW w:w="1634" w:type="dxa"/>
            <w:noWrap w:val="0"/>
            <w:vAlign w:val="center"/>
          </w:tcPr>
          <w:p w14:paraId="5DCB2CB0">
            <w:pPr>
              <w:jc w:val="center"/>
              <w:rPr>
                <w:rFonts w:ascii="Times New Roman" w:hAnsi="Times New Roman" w:eastAsia="宋体" w:cs="Times New Roman"/>
                <w:kern w:val="0"/>
                <w:sz w:val="21"/>
                <w:szCs w:val="21"/>
              </w:rPr>
            </w:pPr>
            <w:r>
              <w:rPr>
                <w:rFonts w:ascii="Times New Roman" w:hAnsi="Times New Roman" w:eastAsia="仿宋" w:cs="Times New Roman"/>
                <w:sz w:val="21"/>
                <w:szCs w:val="21"/>
              </w:rPr>
              <w:t>AⅠ</w:t>
            </w:r>
          </w:p>
        </w:tc>
        <w:tc>
          <w:tcPr>
            <w:tcW w:w="1701" w:type="dxa"/>
            <w:gridSpan w:val="2"/>
            <w:noWrap w:val="0"/>
            <w:vAlign w:val="center"/>
          </w:tcPr>
          <w:p w14:paraId="29EE9818">
            <w:pPr>
              <w:jc w:val="center"/>
              <w:rPr>
                <w:rFonts w:ascii="Times New Roman" w:hAnsi="Times New Roman" w:eastAsia="宋体" w:cs="Times New Roman"/>
                <w:kern w:val="0"/>
                <w:sz w:val="21"/>
                <w:szCs w:val="21"/>
              </w:rPr>
            </w:pPr>
            <w:r>
              <w:rPr>
                <w:rFonts w:ascii="Times New Roman" w:hAnsi="Times New Roman" w:eastAsia="仿宋" w:cs="Times New Roman"/>
                <w:sz w:val="21"/>
                <w:szCs w:val="21"/>
              </w:rPr>
              <w:t>AⅡ</w:t>
            </w:r>
          </w:p>
        </w:tc>
        <w:tc>
          <w:tcPr>
            <w:tcW w:w="1882" w:type="dxa"/>
            <w:gridSpan w:val="4"/>
            <w:noWrap w:val="0"/>
            <w:vAlign w:val="center"/>
          </w:tcPr>
          <w:p w14:paraId="71D1D5B8">
            <w:pPr>
              <w:jc w:val="center"/>
              <w:rPr>
                <w:rFonts w:ascii="Times New Roman" w:hAnsi="Times New Roman" w:eastAsia="宋体" w:cs="Times New Roman"/>
                <w:kern w:val="0"/>
                <w:sz w:val="21"/>
                <w:szCs w:val="21"/>
              </w:rPr>
            </w:pPr>
            <w:r>
              <w:rPr>
                <w:rFonts w:ascii="Times New Roman" w:hAnsi="Times New Roman" w:eastAsia="仿宋" w:cs="Times New Roman"/>
                <w:sz w:val="21"/>
                <w:szCs w:val="21"/>
              </w:rPr>
              <w:t>AⅢ</w:t>
            </w:r>
          </w:p>
        </w:tc>
        <w:tc>
          <w:tcPr>
            <w:tcW w:w="1700" w:type="dxa"/>
            <w:gridSpan w:val="2"/>
            <w:noWrap w:val="0"/>
            <w:vAlign w:val="center"/>
          </w:tcPr>
          <w:p w14:paraId="114B35CB">
            <w:pPr>
              <w:jc w:val="center"/>
              <w:rPr>
                <w:rFonts w:ascii="Times New Roman" w:hAnsi="Times New Roman" w:eastAsia="宋体" w:cs="Times New Roman"/>
                <w:kern w:val="0"/>
                <w:sz w:val="21"/>
                <w:szCs w:val="21"/>
              </w:rPr>
            </w:pPr>
            <w:r>
              <w:rPr>
                <w:rFonts w:ascii="Times New Roman" w:hAnsi="Times New Roman" w:eastAsia="仿宋" w:cs="Times New Roman"/>
                <w:sz w:val="21"/>
                <w:szCs w:val="21"/>
              </w:rPr>
              <w:t>B</w:t>
            </w:r>
          </w:p>
        </w:tc>
        <w:tc>
          <w:tcPr>
            <w:tcW w:w="1765" w:type="dxa"/>
            <w:noWrap w:val="0"/>
            <w:vAlign w:val="center"/>
          </w:tcPr>
          <w:p w14:paraId="487615D1">
            <w:pPr>
              <w:jc w:val="center"/>
              <w:rPr>
                <w:rFonts w:ascii="Times New Roman" w:hAnsi="Times New Roman" w:eastAsia="宋体" w:cs="Times New Roman"/>
                <w:kern w:val="0"/>
                <w:sz w:val="21"/>
                <w:szCs w:val="21"/>
              </w:rPr>
            </w:pPr>
            <w:r>
              <w:rPr>
                <w:rFonts w:ascii="Times New Roman" w:hAnsi="Times New Roman" w:eastAsia="仿宋" w:cs="Times New Roman"/>
                <w:sz w:val="21"/>
                <w:szCs w:val="21"/>
              </w:rPr>
              <w:t>C</w:t>
            </w:r>
          </w:p>
        </w:tc>
      </w:tr>
      <w:tr w14:paraId="12B7D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1238" w:type="dxa"/>
            <w:noWrap w:val="0"/>
            <w:vAlign w:val="center"/>
          </w:tcPr>
          <w:p w14:paraId="5AC8372E">
            <w:pPr>
              <w:snapToGrid w:val="0"/>
              <w:spacing w:line="240" w:lineRule="exact"/>
              <w:jc w:val="center"/>
              <w:rPr>
                <w:rFonts w:ascii="Times New Roman" w:hAnsi="Times New Roman" w:cs="Times New Roman"/>
                <w:kern w:val="0"/>
                <w:sz w:val="21"/>
                <w:szCs w:val="21"/>
              </w:rPr>
            </w:pPr>
            <w:r>
              <w:rPr>
                <w:rFonts w:ascii="Times New Roman" w:hAnsi="Times New Roman" w:cs="Times New Roman"/>
                <w:kern w:val="0"/>
                <w:sz w:val="21"/>
                <w:szCs w:val="21"/>
              </w:rPr>
              <w:t>（</w:t>
            </w:r>
            <w:r>
              <w:rPr>
                <w:rFonts w:hint="eastAsia" w:ascii="Times New Roman" w:hAnsi="Times New Roman" w:cs="Times New Roman"/>
                <w:kern w:val="0"/>
                <w:sz w:val="21"/>
                <w:szCs w:val="21"/>
              </w:rPr>
              <w:t>指数</w:t>
            </w:r>
            <w:r>
              <w:rPr>
                <w:rFonts w:ascii="Times New Roman" w:hAnsi="Times New Roman" w:cs="Times New Roman"/>
                <w:kern w:val="0"/>
                <w:sz w:val="21"/>
                <w:szCs w:val="21"/>
              </w:rPr>
              <w:t>/篇）</w:t>
            </w:r>
          </w:p>
        </w:tc>
        <w:tc>
          <w:tcPr>
            <w:tcW w:w="1634" w:type="dxa"/>
            <w:noWrap w:val="0"/>
            <w:vAlign w:val="center"/>
          </w:tcPr>
          <w:p w14:paraId="3BA4AFD2">
            <w:pPr>
              <w:jc w:val="center"/>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rPr>
              <w:t>800</w:t>
            </w:r>
          </w:p>
        </w:tc>
        <w:tc>
          <w:tcPr>
            <w:tcW w:w="1701" w:type="dxa"/>
            <w:gridSpan w:val="2"/>
            <w:noWrap w:val="0"/>
            <w:vAlign w:val="center"/>
          </w:tcPr>
          <w:p w14:paraId="4E932068">
            <w:pPr>
              <w:jc w:val="center"/>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rPr>
              <w:t>600</w:t>
            </w:r>
          </w:p>
        </w:tc>
        <w:tc>
          <w:tcPr>
            <w:tcW w:w="1882" w:type="dxa"/>
            <w:gridSpan w:val="4"/>
            <w:noWrap w:val="0"/>
            <w:vAlign w:val="center"/>
          </w:tcPr>
          <w:p w14:paraId="551671B4">
            <w:pPr>
              <w:jc w:val="center"/>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rPr>
              <w:t>400</w:t>
            </w:r>
          </w:p>
        </w:tc>
        <w:tc>
          <w:tcPr>
            <w:tcW w:w="1700" w:type="dxa"/>
            <w:gridSpan w:val="2"/>
            <w:noWrap w:val="0"/>
            <w:vAlign w:val="center"/>
          </w:tcPr>
          <w:p w14:paraId="681AD36B">
            <w:pPr>
              <w:jc w:val="center"/>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rPr>
              <w:t>200</w:t>
            </w:r>
          </w:p>
        </w:tc>
        <w:tc>
          <w:tcPr>
            <w:tcW w:w="1765" w:type="dxa"/>
            <w:noWrap w:val="0"/>
            <w:vAlign w:val="center"/>
          </w:tcPr>
          <w:p w14:paraId="55391899">
            <w:pPr>
              <w:jc w:val="center"/>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rPr>
              <w:t>120</w:t>
            </w:r>
          </w:p>
        </w:tc>
      </w:tr>
      <w:tr w14:paraId="338DE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6" w:hRule="atLeast"/>
          <w:jc w:val="center"/>
        </w:trPr>
        <w:tc>
          <w:tcPr>
            <w:tcW w:w="1238" w:type="dxa"/>
            <w:noWrap w:val="0"/>
            <w:vAlign w:val="center"/>
          </w:tcPr>
          <w:p w14:paraId="5D876A77">
            <w:pPr>
              <w:snapToGrid w:val="0"/>
              <w:spacing w:line="240" w:lineRule="exact"/>
              <w:jc w:val="center"/>
              <w:rPr>
                <w:rFonts w:ascii="Times New Roman" w:hAnsi="Times New Roman" w:cs="Times New Roman"/>
                <w:b/>
                <w:bCs/>
                <w:kern w:val="0"/>
                <w:sz w:val="21"/>
                <w:szCs w:val="21"/>
              </w:rPr>
            </w:pPr>
            <w:r>
              <w:rPr>
                <w:rFonts w:ascii="Times New Roman" w:hAnsi="Times New Roman" w:cs="Times New Roman"/>
                <w:b/>
                <w:bCs/>
                <w:sz w:val="21"/>
                <w:szCs w:val="21"/>
              </w:rPr>
              <w:t>咨政报告</w:t>
            </w:r>
          </w:p>
        </w:tc>
        <w:tc>
          <w:tcPr>
            <w:tcW w:w="4277" w:type="dxa"/>
            <w:gridSpan w:val="5"/>
            <w:noWrap w:val="0"/>
            <w:vAlign w:val="center"/>
          </w:tcPr>
          <w:p w14:paraId="7BAB495F">
            <w:pPr>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国家级领导肯定性批示并转有关部门采纳</w:t>
            </w:r>
          </w:p>
        </w:tc>
        <w:tc>
          <w:tcPr>
            <w:tcW w:w="4405" w:type="dxa"/>
            <w:gridSpan w:val="5"/>
            <w:noWrap w:val="0"/>
            <w:vAlign w:val="center"/>
          </w:tcPr>
          <w:p w14:paraId="4E282C06">
            <w:pPr>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省部级领导肯定性批示并转有关部门采纳</w:t>
            </w:r>
          </w:p>
        </w:tc>
      </w:tr>
      <w:tr w14:paraId="7F874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9" w:hRule="atLeast"/>
          <w:jc w:val="center"/>
        </w:trPr>
        <w:tc>
          <w:tcPr>
            <w:tcW w:w="1238" w:type="dxa"/>
            <w:noWrap w:val="0"/>
            <w:vAlign w:val="center"/>
          </w:tcPr>
          <w:p w14:paraId="3B623C76">
            <w:pPr>
              <w:snapToGrid w:val="0"/>
              <w:spacing w:line="240" w:lineRule="exact"/>
              <w:jc w:val="center"/>
              <w:rPr>
                <w:rFonts w:ascii="Times New Roman" w:hAnsi="Times New Roman" w:cs="Times New Roman"/>
                <w:kern w:val="0"/>
                <w:sz w:val="21"/>
                <w:szCs w:val="21"/>
              </w:rPr>
            </w:pPr>
            <w:r>
              <w:rPr>
                <w:rFonts w:ascii="Times New Roman" w:hAnsi="Times New Roman" w:cs="Times New Roman"/>
                <w:kern w:val="0"/>
                <w:sz w:val="21"/>
                <w:szCs w:val="21"/>
              </w:rPr>
              <w:t>（</w:t>
            </w:r>
            <w:r>
              <w:rPr>
                <w:rFonts w:hint="eastAsia" w:ascii="Times New Roman" w:hAnsi="Times New Roman" w:cs="Times New Roman"/>
                <w:kern w:val="0"/>
                <w:sz w:val="21"/>
                <w:szCs w:val="21"/>
              </w:rPr>
              <w:t>指数</w:t>
            </w:r>
            <w:r>
              <w:rPr>
                <w:rFonts w:ascii="Times New Roman" w:hAnsi="Times New Roman" w:cs="Times New Roman"/>
                <w:kern w:val="0"/>
                <w:sz w:val="21"/>
                <w:szCs w:val="21"/>
              </w:rPr>
              <w:t>/篇）</w:t>
            </w:r>
          </w:p>
        </w:tc>
        <w:tc>
          <w:tcPr>
            <w:tcW w:w="4277" w:type="dxa"/>
            <w:gridSpan w:val="5"/>
            <w:noWrap w:val="0"/>
            <w:vAlign w:val="center"/>
          </w:tcPr>
          <w:p w14:paraId="54DCC88B">
            <w:pPr>
              <w:jc w:val="center"/>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rPr>
              <w:t>800</w:t>
            </w:r>
          </w:p>
        </w:tc>
        <w:tc>
          <w:tcPr>
            <w:tcW w:w="4405" w:type="dxa"/>
            <w:gridSpan w:val="5"/>
            <w:noWrap w:val="0"/>
            <w:vAlign w:val="center"/>
          </w:tcPr>
          <w:p w14:paraId="794190D3">
            <w:pPr>
              <w:jc w:val="center"/>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rPr>
              <w:t>400</w:t>
            </w:r>
          </w:p>
        </w:tc>
      </w:tr>
      <w:tr w14:paraId="49AA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jc w:val="center"/>
        </w:trPr>
        <w:tc>
          <w:tcPr>
            <w:tcW w:w="9920" w:type="dxa"/>
            <w:gridSpan w:val="11"/>
            <w:shd w:val="clear" w:color="auto" w:fill="DCD8C2"/>
            <w:noWrap w:val="0"/>
            <w:vAlign w:val="center"/>
          </w:tcPr>
          <w:p w14:paraId="01724178">
            <w:pPr>
              <w:snapToGrid w:val="0"/>
              <w:spacing w:line="240" w:lineRule="exact"/>
              <w:jc w:val="center"/>
              <w:rPr>
                <w:rFonts w:ascii="Times New Roman" w:hAnsi="Times New Roman" w:eastAsia="宋体" w:cs="Times New Roman"/>
                <w:kern w:val="0"/>
                <w:sz w:val="21"/>
                <w:szCs w:val="21"/>
              </w:rPr>
            </w:pPr>
          </w:p>
        </w:tc>
      </w:tr>
      <w:tr w14:paraId="6E6F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jc w:val="center"/>
        </w:trPr>
        <w:tc>
          <w:tcPr>
            <w:tcW w:w="1238" w:type="dxa"/>
            <w:noWrap w:val="0"/>
            <w:vAlign w:val="center"/>
          </w:tcPr>
          <w:p w14:paraId="0CE172DB">
            <w:pPr>
              <w:snapToGrid w:val="0"/>
              <w:spacing w:line="240" w:lineRule="exact"/>
              <w:jc w:val="center"/>
              <w:rPr>
                <w:rFonts w:ascii="Times New Roman" w:hAnsi="Times New Roman" w:cs="Times New Roman"/>
                <w:b/>
                <w:bCs/>
                <w:sz w:val="21"/>
                <w:szCs w:val="21"/>
              </w:rPr>
            </w:pPr>
            <w:r>
              <w:rPr>
                <w:rFonts w:ascii="Times New Roman" w:hAnsi="Times New Roman" w:cs="Times New Roman"/>
                <w:b/>
                <w:bCs/>
                <w:sz w:val="21"/>
                <w:szCs w:val="21"/>
              </w:rPr>
              <w:t>标准</w:t>
            </w:r>
          </w:p>
        </w:tc>
        <w:tc>
          <w:tcPr>
            <w:tcW w:w="4277" w:type="dxa"/>
            <w:gridSpan w:val="5"/>
            <w:noWrap w:val="0"/>
            <w:vAlign w:val="center"/>
          </w:tcPr>
          <w:p w14:paraId="5F984CF7">
            <w:pPr>
              <w:snapToGrid w:val="0"/>
              <w:spacing w:line="240" w:lineRule="exact"/>
              <w:jc w:val="center"/>
              <w:rPr>
                <w:rFonts w:ascii="Times New Roman" w:hAnsi="Times New Roman" w:cs="Times New Roman"/>
                <w:sz w:val="21"/>
                <w:szCs w:val="21"/>
              </w:rPr>
            </w:pPr>
            <w:r>
              <w:rPr>
                <w:rFonts w:hint="eastAsia" w:ascii="Times New Roman" w:hAnsi="Times New Roman" w:eastAsia="宋体" w:cs="Times New Roman"/>
                <w:kern w:val="0"/>
                <w:sz w:val="21"/>
                <w:szCs w:val="21"/>
              </w:rPr>
              <w:t>国家标准（含规范、技术规程等）</w:t>
            </w:r>
          </w:p>
        </w:tc>
        <w:tc>
          <w:tcPr>
            <w:tcW w:w="4405" w:type="dxa"/>
            <w:gridSpan w:val="5"/>
            <w:noWrap w:val="0"/>
            <w:vAlign w:val="center"/>
          </w:tcPr>
          <w:p w14:paraId="02E628B0">
            <w:pPr>
              <w:snapToGrid w:val="0"/>
              <w:spacing w:line="240" w:lineRule="exact"/>
              <w:jc w:val="center"/>
              <w:rPr>
                <w:rFonts w:ascii="Times New Roman" w:hAnsi="Times New Roman" w:cs="Times New Roman"/>
                <w:sz w:val="21"/>
                <w:szCs w:val="21"/>
              </w:rPr>
            </w:pPr>
            <w:r>
              <w:rPr>
                <w:rFonts w:hint="eastAsia" w:ascii="Times New Roman" w:hAnsi="Times New Roman" w:eastAsia="宋体" w:cs="Times New Roman"/>
                <w:kern w:val="0"/>
                <w:sz w:val="21"/>
                <w:szCs w:val="21"/>
              </w:rPr>
              <w:t>省级标准（含规范、技术规程等）</w:t>
            </w:r>
          </w:p>
        </w:tc>
      </w:tr>
      <w:tr w14:paraId="2CF4A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9" w:hRule="atLeast"/>
          <w:jc w:val="center"/>
        </w:trPr>
        <w:tc>
          <w:tcPr>
            <w:tcW w:w="1238" w:type="dxa"/>
            <w:noWrap w:val="0"/>
            <w:vAlign w:val="center"/>
          </w:tcPr>
          <w:p w14:paraId="4A52C9C4">
            <w:pPr>
              <w:snapToGrid w:val="0"/>
              <w:spacing w:line="240" w:lineRule="exact"/>
              <w:jc w:val="center"/>
              <w:rPr>
                <w:rFonts w:ascii="Times New Roman" w:hAnsi="Times New Roman" w:cs="Times New Roman"/>
                <w:sz w:val="21"/>
                <w:szCs w:val="21"/>
              </w:rPr>
            </w:pPr>
            <w:r>
              <w:rPr>
                <w:rFonts w:ascii="Times New Roman" w:hAnsi="Times New Roman" w:cs="Times New Roman"/>
                <w:sz w:val="21"/>
                <w:szCs w:val="21"/>
              </w:rPr>
              <w:t>（</w:t>
            </w:r>
            <w:r>
              <w:rPr>
                <w:rFonts w:hint="eastAsia" w:ascii="Times New Roman" w:hAnsi="Times New Roman" w:cs="Times New Roman"/>
                <w:kern w:val="0"/>
                <w:sz w:val="21"/>
                <w:szCs w:val="21"/>
              </w:rPr>
              <w:t>指数</w:t>
            </w:r>
            <w:r>
              <w:rPr>
                <w:rFonts w:ascii="Times New Roman" w:hAnsi="Times New Roman" w:cs="Times New Roman"/>
                <w:sz w:val="21"/>
                <w:szCs w:val="21"/>
              </w:rPr>
              <w:t>/项）</w:t>
            </w:r>
          </w:p>
        </w:tc>
        <w:tc>
          <w:tcPr>
            <w:tcW w:w="4277" w:type="dxa"/>
            <w:gridSpan w:val="5"/>
            <w:noWrap w:val="0"/>
            <w:vAlign w:val="center"/>
          </w:tcPr>
          <w:p w14:paraId="2ABFA921">
            <w:pPr>
              <w:jc w:val="center"/>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rPr>
              <w:t>800</w:t>
            </w:r>
          </w:p>
        </w:tc>
        <w:tc>
          <w:tcPr>
            <w:tcW w:w="4405" w:type="dxa"/>
            <w:gridSpan w:val="5"/>
            <w:noWrap w:val="0"/>
            <w:vAlign w:val="center"/>
          </w:tcPr>
          <w:p w14:paraId="14C97B9D">
            <w:pPr>
              <w:jc w:val="center"/>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rPr>
              <w:t>400</w:t>
            </w:r>
          </w:p>
        </w:tc>
      </w:tr>
      <w:tr w14:paraId="17D0E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jc w:val="center"/>
        </w:trPr>
        <w:tc>
          <w:tcPr>
            <w:tcW w:w="9920" w:type="dxa"/>
            <w:gridSpan w:val="11"/>
            <w:shd w:val="clear" w:color="auto" w:fill="DCD8C2"/>
            <w:noWrap w:val="0"/>
            <w:vAlign w:val="center"/>
          </w:tcPr>
          <w:p w14:paraId="5FB60945">
            <w:pPr>
              <w:snapToGrid w:val="0"/>
              <w:spacing w:line="240" w:lineRule="exact"/>
              <w:jc w:val="center"/>
              <w:rPr>
                <w:rFonts w:ascii="Times New Roman" w:hAnsi="Times New Roman" w:eastAsia="宋体" w:cs="Times New Roman"/>
                <w:kern w:val="0"/>
                <w:sz w:val="21"/>
                <w:szCs w:val="21"/>
              </w:rPr>
            </w:pPr>
          </w:p>
        </w:tc>
      </w:tr>
      <w:tr w14:paraId="5C8FF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3" w:hRule="atLeast"/>
          <w:jc w:val="center"/>
        </w:trPr>
        <w:tc>
          <w:tcPr>
            <w:tcW w:w="1238" w:type="dxa"/>
            <w:noWrap w:val="0"/>
            <w:vAlign w:val="center"/>
          </w:tcPr>
          <w:p w14:paraId="19EECDBB">
            <w:pPr>
              <w:snapToGrid w:val="0"/>
              <w:spacing w:line="240" w:lineRule="exact"/>
              <w:jc w:val="center"/>
              <w:rPr>
                <w:rFonts w:ascii="Times New Roman" w:hAnsi="Times New Roman" w:eastAsia="宋体" w:cs="Times New Roman"/>
                <w:kern w:val="0"/>
                <w:sz w:val="21"/>
                <w:szCs w:val="21"/>
              </w:rPr>
            </w:pPr>
            <w:r>
              <w:rPr>
                <w:rFonts w:ascii="Times New Roman" w:hAnsi="Times New Roman" w:cs="Times New Roman"/>
                <w:b/>
                <w:bCs/>
                <w:sz w:val="21"/>
                <w:szCs w:val="21"/>
              </w:rPr>
              <w:t>著作</w:t>
            </w:r>
          </w:p>
        </w:tc>
        <w:tc>
          <w:tcPr>
            <w:tcW w:w="8682" w:type="dxa"/>
            <w:gridSpan w:val="10"/>
            <w:noWrap w:val="0"/>
            <w:vAlign w:val="center"/>
          </w:tcPr>
          <w:p w14:paraId="224222B2">
            <w:pPr>
              <w:snapToGrid w:val="0"/>
              <w:spacing w:line="240" w:lineRule="exact"/>
              <w:jc w:val="center"/>
              <w:rPr>
                <w:rFonts w:ascii="Times New Roman" w:hAnsi="Times New Roman" w:eastAsia="宋体" w:cs="Times New Roman"/>
                <w:kern w:val="0"/>
                <w:sz w:val="21"/>
                <w:szCs w:val="21"/>
              </w:rPr>
            </w:pPr>
            <w:r>
              <w:rPr>
                <w:rFonts w:ascii="Times New Roman" w:hAnsi="Times New Roman" w:cs="Times New Roman"/>
                <w:sz w:val="21"/>
                <w:szCs w:val="21"/>
              </w:rPr>
              <w:t>专著</w:t>
            </w:r>
          </w:p>
        </w:tc>
      </w:tr>
      <w:tr w14:paraId="3A44C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4" w:hRule="atLeast"/>
          <w:jc w:val="center"/>
        </w:trPr>
        <w:tc>
          <w:tcPr>
            <w:tcW w:w="1238" w:type="dxa"/>
            <w:noWrap w:val="0"/>
            <w:vAlign w:val="center"/>
          </w:tcPr>
          <w:p w14:paraId="7C018B8D">
            <w:pPr>
              <w:snapToGrid w:val="0"/>
              <w:spacing w:line="240" w:lineRule="exact"/>
              <w:jc w:val="center"/>
              <w:rPr>
                <w:rFonts w:ascii="Times New Roman" w:hAnsi="Times New Roman" w:eastAsia="宋体" w:cs="Times New Roman"/>
                <w:kern w:val="0"/>
                <w:sz w:val="21"/>
                <w:szCs w:val="21"/>
              </w:rPr>
            </w:pPr>
            <w:r>
              <w:rPr>
                <w:rFonts w:ascii="Times New Roman" w:hAnsi="Times New Roman" w:cs="Times New Roman"/>
                <w:sz w:val="21"/>
                <w:szCs w:val="21"/>
              </w:rPr>
              <w:t>（</w:t>
            </w:r>
            <w:r>
              <w:rPr>
                <w:rFonts w:hint="eastAsia" w:ascii="Times New Roman" w:hAnsi="Times New Roman" w:cs="Times New Roman"/>
                <w:kern w:val="0"/>
                <w:sz w:val="21"/>
                <w:szCs w:val="21"/>
              </w:rPr>
              <w:t>指数</w:t>
            </w:r>
            <w:r>
              <w:rPr>
                <w:rFonts w:ascii="Times New Roman" w:hAnsi="Times New Roman" w:cs="Times New Roman"/>
                <w:sz w:val="21"/>
                <w:szCs w:val="21"/>
              </w:rPr>
              <w:t>/项）</w:t>
            </w:r>
          </w:p>
        </w:tc>
        <w:tc>
          <w:tcPr>
            <w:tcW w:w="8682" w:type="dxa"/>
            <w:gridSpan w:val="10"/>
            <w:noWrap w:val="0"/>
            <w:vAlign w:val="center"/>
          </w:tcPr>
          <w:p w14:paraId="16AA6CA6">
            <w:pPr>
              <w:snapToGrid w:val="0"/>
              <w:spacing w:line="240" w:lineRule="exact"/>
              <w:jc w:val="center"/>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rPr>
              <w:t>1200</w:t>
            </w:r>
          </w:p>
        </w:tc>
      </w:tr>
    </w:tbl>
    <w:p w14:paraId="2A86BA56">
      <w:pPr>
        <w:pStyle w:val="4"/>
        <w:snapToGrid w:val="0"/>
        <w:jc w:val="left"/>
        <w:rPr>
          <w:rFonts w:ascii="Times New Roman" w:hAnsi="Times New Roman" w:eastAsia="仿宋" w:cs="Times New Roman"/>
          <w:sz w:val="24"/>
          <w:szCs w:val="24"/>
        </w:rPr>
      </w:pPr>
    </w:p>
    <w:p w14:paraId="777099C4">
      <w:pPr>
        <w:pStyle w:val="4"/>
        <w:snapToGrid w:val="0"/>
        <w:jc w:val="left"/>
        <w:rPr>
          <w:rFonts w:ascii="Times New Roman" w:hAnsi="Times New Roman" w:eastAsia="仿宋" w:cs="Times New Roman"/>
          <w:b/>
          <w:bCs/>
          <w:sz w:val="24"/>
          <w:szCs w:val="24"/>
        </w:rPr>
      </w:pPr>
      <w:r>
        <w:rPr>
          <w:rFonts w:ascii="Times New Roman" w:hAnsi="Times New Roman" w:eastAsia="仿宋" w:cs="Times New Roman"/>
          <w:b/>
          <w:bCs/>
          <w:sz w:val="24"/>
          <w:szCs w:val="24"/>
        </w:rPr>
        <w:t>说明：</w:t>
      </w:r>
    </w:p>
    <w:p w14:paraId="46232D54">
      <w:pPr>
        <w:pStyle w:val="4"/>
        <w:snapToGrid w:val="0"/>
        <w:jc w:val="left"/>
        <w:rPr>
          <w:rFonts w:ascii="Times New Roman" w:hAnsi="Times New Roman" w:eastAsia="仿宋" w:cs="Times New Roman"/>
          <w:sz w:val="24"/>
          <w:szCs w:val="24"/>
        </w:rPr>
      </w:pPr>
      <w:r>
        <w:rPr>
          <w:rFonts w:ascii="Times New Roman" w:hAnsi="Times New Roman" w:eastAsia="仿宋" w:cs="Times New Roman"/>
          <w:sz w:val="24"/>
          <w:szCs w:val="24"/>
        </w:rPr>
        <w:t>学术论文：A类期刊：AⅠ为SCI一区Top期刊；AⅡ为SCI/SSCI一区和SCI二区Top期刊；AⅢ为SCI/SSCI二区期刊。B类期刊：SCI/SSCI三区和四区、CSSCI、A&amp;HCI和EI期刊。C类期刊：中文核心期刊。</w:t>
      </w:r>
    </w:p>
    <w:p w14:paraId="75B4104F">
      <w:pPr>
        <w:pStyle w:val="4"/>
        <w:snapToGrid w:val="0"/>
        <w:jc w:val="left"/>
        <w:rPr>
          <w:rFonts w:ascii="Times New Roman" w:hAnsi="Times New Roman" w:eastAsia="仿宋" w:cs="Times New Roman"/>
          <w:sz w:val="24"/>
          <w:szCs w:val="24"/>
        </w:rPr>
      </w:pPr>
      <w:r>
        <w:rPr>
          <w:rFonts w:ascii="Times New Roman" w:hAnsi="Times New Roman" w:eastAsia="仿宋" w:cs="Times New Roman"/>
          <w:sz w:val="24"/>
          <w:szCs w:val="24"/>
        </w:rPr>
        <w:t>SCI为科学引文索引，SSCI为社会科学引文索引，CSSCI为中文社会科学引文索引</w:t>
      </w:r>
      <w:r>
        <w:rPr>
          <w:rFonts w:ascii="Times New Roman" w:hAnsi="Times New Roman" w:eastAsia="宋体" w:cs="Times New Roman"/>
          <w:kern w:val="0"/>
          <w:sz w:val="24"/>
          <w:szCs w:val="24"/>
        </w:rPr>
        <w:t>，</w:t>
      </w:r>
      <w:r>
        <w:rPr>
          <w:rFonts w:ascii="Times New Roman" w:hAnsi="Times New Roman" w:eastAsia="仿宋" w:cs="Times New Roman"/>
          <w:kern w:val="0"/>
          <w:sz w:val="24"/>
          <w:szCs w:val="24"/>
        </w:rPr>
        <w:t>A&amp;HCI</w:t>
      </w:r>
      <w:r>
        <w:rPr>
          <w:rFonts w:ascii="Times New Roman" w:hAnsi="Times New Roman" w:eastAsia="仿宋" w:cs="Times New Roman"/>
          <w:sz w:val="24"/>
          <w:szCs w:val="24"/>
        </w:rPr>
        <w:t>为艺术与人文科学引文索引，EI为工程引文索引。学科公认的高水平学术会议论文以检索报告为准。</w:t>
      </w:r>
    </w:p>
    <w:p w14:paraId="7DF666A2">
      <w:pPr>
        <w:bidi w:val="0"/>
        <w:jc w:val="left"/>
        <w:rPr>
          <w:rFonts w:hint="eastAsia" w:ascii="黑体" w:hAnsi="黑体" w:eastAsia="黑体" w:cs="黑体"/>
          <w:sz w:val="24"/>
          <w:szCs w:val="24"/>
          <w:lang w:val="en-US" w:eastAsia="zh-CN"/>
        </w:rPr>
      </w:pPr>
    </w:p>
    <w:p w14:paraId="113D5164"/>
    <w:sectPr>
      <w:headerReference r:id="rId4" w:type="default"/>
      <w:footerReference r:id="rId5" w:type="default"/>
      <w:pgSz w:w="11906" w:h="16838"/>
      <w:pgMar w:top="720" w:right="720" w:bottom="72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Wingdings 2">
    <w:altName w:val="Wingdings"/>
    <w:panose1 w:val="05020102010507070707"/>
    <w:charset w:val="02"/>
    <w:family w:val="roman"/>
    <w:pitch w:val="default"/>
    <w:sig w:usb0="00000000" w:usb1="00000000" w:usb2="00000000" w:usb3="00000000" w:csb0="80000000" w:csb1="00000000"/>
  </w:font>
  <w:font w:name="Kingsoft U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A8146">
    <w:pPr>
      <w:pStyle w:val="5"/>
      <w:jc w:val="center"/>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PAGE   \* MERGEFORMAT</w:instrText>
    </w:r>
    <w:r>
      <w:rPr>
        <w:rFonts w:hint="eastAsia" w:ascii="宋体" w:hAnsi="宋体" w:eastAsia="宋体" w:cs="宋体"/>
        <w:sz w:val="28"/>
        <w:szCs w:val="28"/>
      </w:rPr>
      <w:fldChar w:fldCharType="separate"/>
    </w:r>
    <w:r>
      <w:rPr>
        <w:rFonts w:hint="eastAsia" w:ascii="宋体" w:hAnsi="宋体" w:eastAsia="宋体" w:cs="宋体"/>
        <w:sz w:val="28"/>
        <w:szCs w:val="28"/>
        <w:lang w:val="zh-CN"/>
      </w:rPr>
      <w:t>2</w:t>
    </w:r>
    <w:r>
      <w:rPr>
        <w:rFonts w:hint="eastAsia" w:ascii="宋体" w:hAnsi="宋体" w:eastAsia="宋体" w:cs="宋体"/>
        <w:sz w:val="28"/>
        <w:szCs w:val="28"/>
      </w:rPr>
      <w:fldChar w:fldCharType="end"/>
    </w:r>
  </w:p>
  <w:p w14:paraId="0365A88E">
    <w:pPr>
      <w:pStyle w:val="5"/>
      <w:rPr>
        <w:rFonts w:hint="eastAsia" w:ascii="宋体" w:hAnsi="宋体" w:eastAsia="宋体" w:cs="宋体"/>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414F9">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BC8FBDA">
                          <w:pPr>
                            <w:pStyle w:val="5"/>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 xml:space="preserve">— </w:t>
                          </w:r>
                          <w:r>
                            <w:rPr>
                              <w:rFonts w:hint="eastAsia" w:ascii="宋体" w:hAnsi="宋体" w:eastAsia="宋体" w:cs="宋体"/>
                              <w:b w:val="0"/>
                              <w:bCs w:val="0"/>
                              <w:sz w:val="28"/>
                              <w:szCs w:val="28"/>
                              <w:lang w:eastAsia="zh-CN"/>
                            </w:rPr>
                            <w:fldChar w:fldCharType="begin"/>
                          </w:r>
                          <w:r>
                            <w:rPr>
                              <w:rFonts w:hint="eastAsia" w:ascii="宋体" w:hAnsi="宋体" w:eastAsia="宋体" w:cs="宋体"/>
                              <w:b w:val="0"/>
                              <w:bCs w:val="0"/>
                              <w:sz w:val="28"/>
                              <w:szCs w:val="28"/>
                              <w:lang w:eastAsia="zh-CN"/>
                            </w:rPr>
                            <w:instrText xml:space="preserve"> PAGE  \* MERGEFORMAT </w:instrText>
                          </w:r>
                          <w:r>
                            <w:rPr>
                              <w:rFonts w:hint="eastAsia" w:ascii="宋体" w:hAnsi="宋体" w:eastAsia="宋体" w:cs="宋体"/>
                              <w:b w:val="0"/>
                              <w:bCs w:val="0"/>
                              <w:sz w:val="28"/>
                              <w:szCs w:val="28"/>
                              <w:lang w:eastAsia="zh-CN"/>
                            </w:rPr>
                            <w:fldChar w:fldCharType="separate"/>
                          </w:r>
                          <w:r>
                            <w:rPr>
                              <w:rFonts w:hint="eastAsia" w:ascii="宋体" w:hAnsi="宋体" w:eastAsia="宋体" w:cs="宋体"/>
                              <w:b w:val="0"/>
                              <w:bCs w:val="0"/>
                              <w:sz w:val="28"/>
                              <w:szCs w:val="28"/>
                              <w:lang w:eastAsia="zh-CN"/>
                            </w:rPr>
                            <w:t>- 1 -</w:t>
                          </w:r>
                          <w:r>
                            <w:rPr>
                              <w:rFonts w:hint="eastAsia" w:ascii="宋体" w:hAnsi="宋体" w:eastAsia="宋体" w:cs="宋体"/>
                              <w:b w:val="0"/>
                              <w:bCs w:val="0"/>
                              <w:sz w:val="28"/>
                              <w:szCs w:val="28"/>
                              <w:lang w:eastAsia="zh-CN"/>
                            </w:rPr>
                            <w:fldChar w:fldCharType="end"/>
                          </w:r>
                          <w:r>
                            <w:rPr>
                              <w:rFonts w:hint="eastAsia" w:ascii="宋体" w:hAnsi="宋体" w:eastAsia="宋体" w:cs="宋体"/>
                              <w:b w:val="0"/>
                              <w:bCs w:val="0"/>
                              <w:sz w:val="28"/>
                              <w:szCs w:val="28"/>
                              <w:lang w:eastAsia="zh-CN"/>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14:paraId="6BC8FBDA">
                    <w:pPr>
                      <w:pStyle w:val="5"/>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 xml:space="preserve">— </w:t>
                    </w:r>
                    <w:r>
                      <w:rPr>
                        <w:rFonts w:hint="eastAsia" w:ascii="宋体" w:hAnsi="宋体" w:eastAsia="宋体" w:cs="宋体"/>
                        <w:b w:val="0"/>
                        <w:bCs w:val="0"/>
                        <w:sz w:val="28"/>
                        <w:szCs w:val="28"/>
                        <w:lang w:eastAsia="zh-CN"/>
                      </w:rPr>
                      <w:fldChar w:fldCharType="begin"/>
                    </w:r>
                    <w:r>
                      <w:rPr>
                        <w:rFonts w:hint="eastAsia" w:ascii="宋体" w:hAnsi="宋体" w:eastAsia="宋体" w:cs="宋体"/>
                        <w:b w:val="0"/>
                        <w:bCs w:val="0"/>
                        <w:sz w:val="28"/>
                        <w:szCs w:val="28"/>
                        <w:lang w:eastAsia="zh-CN"/>
                      </w:rPr>
                      <w:instrText xml:space="preserve"> PAGE  \* MERGEFORMAT </w:instrText>
                    </w:r>
                    <w:r>
                      <w:rPr>
                        <w:rFonts w:hint="eastAsia" w:ascii="宋体" w:hAnsi="宋体" w:eastAsia="宋体" w:cs="宋体"/>
                        <w:b w:val="0"/>
                        <w:bCs w:val="0"/>
                        <w:sz w:val="28"/>
                        <w:szCs w:val="28"/>
                        <w:lang w:eastAsia="zh-CN"/>
                      </w:rPr>
                      <w:fldChar w:fldCharType="separate"/>
                    </w:r>
                    <w:r>
                      <w:rPr>
                        <w:rFonts w:hint="eastAsia" w:ascii="宋体" w:hAnsi="宋体" w:eastAsia="宋体" w:cs="宋体"/>
                        <w:b w:val="0"/>
                        <w:bCs w:val="0"/>
                        <w:sz w:val="28"/>
                        <w:szCs w:val="28"/>
                        <w:lang w:eastAsia="zh-CN"/>
                      </w:rPr>
                      <w:t>- 1 -</w:t>
                    </w:r>
                    <w:r>
                      <w:rPr>
                        <w:rFonts w:hint="eastAsia" w:ascii="宋体" w:hAnsi="宋体" w:eastAsia="宋体" w:cs="宋体"/>
                        <w:b w:val="0"/>
                        <w:bCs w:val="0"/>
                        <w:sz w:val="28"/>
                        <w:szCs w:val="28"/>
                        <w:lang w:eastAsia="zh-CN"/>
                      </w:rPr>
                      <w:fldChar w:fldCharType="end"/>
                    </w:r>
                    <w:r>
                      <w:rPr>
                        <w:rFonts w:hint="eastAsia" w:ascii="宋体" w:hAnsi="宋体" w:eastAsia="宋体" w:cs="宋体"/>
                        <w:b w:val="0"/>
                        <w:bCs w:val="0"/>
                        <w:sz w:val="28"/>
                        <w:szCs w:val="28"/>
                        <w:lang w:eastAsia="zh-CN"/>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B1CC4">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4A40D1"/>
    <w:multiLevelType w:val="singleLevel"/>
    <w:tmpl w:val="B54A40D1"/>
    <w:lvl w:ilvl="0" w:tentative="0">
      <w:start w:val="1"/>
      <w:numFmt w:val="decimal"/>
      <w:suff w:val="space"/>
      <w:lvlText w:val="%1."/>
      <w:lvlJc w:val="left"/>
    </w:lvl>
  </w:abstractNum>
  <w:abstractNum w:abstractNumId="1">
    <w:nsid w:val="E5F85CE8"/>
    <w:multiLevelType w:val="singleLevel"/>
    <w:tmpl w:val="E5F85CE8"/>
    <w:lvl w:ilvl="0" w:tentative="0">
      <w:start w:val="1"/>
      <w:numFmt w:val="decimal"/>
      <w:suff w:val="space"/>
      <w:lvlText w:val="%1."/>
      <w:lvlJc w:val="left"/>
      <w:rPr>
        <w:rFonts w:hint="default"/>
        <w:color w:val="auto"/>
      </w:rPr>
    </w:lvl>
  </w:abstractNum>
  <w:abstractNum w:abstractNumId="2">
    <w:nsid w:val="421B5EA9"/>
    <w:multiLevelType w:val="singleLevel"/>
    <w:tmpl w:val="421B5EA9"/>
    <w:lvl w:ilvl="0" w:tentative="0">
      <w:start w:val="1"/>
      <w:numFmt w:val="decimal"/>
      <w:suff w:val="space"/>
      <w:lvlText w:val="%1."/>
      <w:lvlJc w:val="left"/>
    </w:lvl>
  </w:abstractNum>
  <w:abstractNum w:abstractNumId="3">
    <w:nsid w:val="66824AC5"/>
    <w:multiLevelType w:val="multilevel"/>
    <w:tmpl w:val="66824AC5"/>
    <w:lvl w:ilvl="0" w:tentative="0">
      <w:start w:val="1"/>
      <w:numFmt w:val="chineseCountingThousand"/>
      <w:suff w:val="space"/>
      <w:lvlText w:val="第%1条"/>
      <w:lvlJc w:val="left"/>
      <w:pPr>
        <w:ind w:left="2682" w:hanging="840"/>
      </w:pPr>
      <w:rPr>
        <w:rFonts w:hint="eastAsia" w:ascii="楷体_GB2312" w:hAnsi="黑体" w:eastAsia="楷体_GB2312" w:cs="黑体"/>
        <w:b w:val="0"/>
        <w:bCs/>
        <w:sz w:val="32"/>
        <w:szCs w:val="32"/>
        <w:lang w:val="en-US"/>
      </w:rPr>
    </w:lvl>
    <w:lvl w:ilvl="1" w:tentative="0">
      <w:start w:val="1"/>
      <w:numFmt w:val="lowerLetter"/>
      <w:lvlText w:val="%2)"/>
      <w:lvlJc w:val="left"/>
      <w:pPr>
        <w:ind w:left="1265" w:hanging="420"/>
      </w:pPr>
      <w:rPr>
        <w:rFonts w:hint="eastAsia"/>
      </w:rPr>
    </w:lvl>
    <w:lvl w:ilvl="2" w:tentative="0">
      <w:start w:val="1"/>
      <w:numFmt w:val="lowerRoman"/>
      <w:lvlText w:val="%3."/>
      <w:lvlJc w:val="right"/>
      <w:pPr>
        <w:ind w:left="1685" w:hanging="420"/>
      </w:pPr>
      <w:rPr>
        <w:rFonts w:hint="eastAsia"/>
      </w:rPr>
    </w:lvl>
    <w:lvl w:ilvl="3" w:tentative="0">
      <w:start w:val="1"/>
      <w:numFmt w:val="decimal"/>
      <w:lvlText w:val="%4."/>
      <w:lvlJc w:val="left"/>
      <w:pPr>
        <w:ind w:left="2105" w:hanging="420"/>
      </w:pPr>
      <w:rPr>
        <w:rFonts w:hint="eastAsia"/>
      </w:rPr>
    </w:lvl>
    <w:lvl w:ilvl="4" w:tentative="0">
      <w:start w:val="1"/>
      <w:numFmt w:val="lowerLetter"/>
      <w:lvlText w:val="%5)"/>
      <w:lvlJc w:val="left"/>
      <w:pPr>
        <w:ind w:left="2525" w:hanging="420"/>
      </w:pPr>
      <w:rPr>
        <w:rFonts w:hint="eastAsia"/>
      </w:rPr>
    </w:lvl>
    <w:lvl w:ilvl="5" w:tentative="0">
      <w:start w:val="1"/>
      <w:numFmt w:val="lowerRoman"/>
      <w:lvlText w:val="%6."/>
      <w:lvlJc w:val="right"/>
      <w:pPr>
        <w:ind w:left="2945" w:hanging="420"/>
      </w:pPr>
      <w:rPr>
        <w:rFonts w:hint="eastAsia"/>
      </w:rPr>
    </w:lvl>
    <w:lvl w:ilvl="6" w:tentative="0">
      <w:start w:val="1"/>
      <w:numFmt w:val="decimal"/>
      <w:lvlText w:val="%7."/>
      <w:lvlJc w:val="left"/>
      <w:pPr>
        <w:ind w:left="3365" w:hanging="420"/>
      </w:pPr>
      <w:rPr>
        <w:rFonts w:hint="eastAsia"/>
      </w:rPr>
    </w:lvl>
    <w:lvl w:ilvl="7" w:tentative="0">
      <w:start w:val="1"/>
      <w:numFmt w:val="lowerLetter"/>
      <w:lvlText w:val="%8)"/>
      <w:lvlJc w:val="left"/>
      <w:pPr>
        <w:ind w:left="3785" w:hanging="420"/>
      </w:pPr>
      <w:rPr>
        <w:rFonts w:hint="eastAsia"/>
      </w:rPr>
    </w:lvl>
    <w:lvl w:ilvl="8" w:tentative="0">
      <w:start w:val="1"/>
      <w:numFmt w:val="lowerRoman"/>
      <w:lvlText w:val="%9."/>
      <w:lvlJc w:val="right"/>
      <w:pPr>
        <w:ind w:left="4205" w:hanging="420"/>
      </w:pPr>
      <w:rPr>
        <w:rFonts w:hint="eastAsia"/>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A534B4"/>
    <w:rsid w:val="33FA13D4"/>
    <w:rsid w:val="4A0155CC"/>
    <w:rsid w:val="53A534B4"/>
    <w:rsid w:val="548040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3">
    <w:name w:val="Body Text"/>
    <w:basedOn w:val="1"/>
    <w:qFormat/>
    <w:uiPriority w:val="1"/>
    <w:rPr>
      <w:rFonts w:ascii="仿宋" w:hAnsi="仿宋" w:eastAsia="仿宋" w:cs="仿宋"/>
      <w:sz w:val="32"/>
      <w:szCs w:val="32"/>
      <w:lang w:val="zh-CN" w:eastAsia="zh-CN" w:bidi="zh-CN"/>
    </w:rPr>
  </w:style>
  <w:style w:type="paragraph" w:styleId="4">
    <w:name w:val="Plain Text"/>
    <w:basedOn w:val="1"/>
    <w:qFormat/>
    <w:uiPriority w:val="0"/>
    <w:rPr>
      <w:rFonts w:ascii="宋体" w:hAnsi="Courier New" w:cs="Courier New"/>
      <w:szCs w:val="21"/>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9">
    <w:name w:val="Hyperlink"/>
    <w:basedOn w:val="8"/>
    <w:unhideWhenUsed/>
    <w:qFormat/>
    <w:uiPriority w:val="99"/>
    <w:rPr>
      <w:color w:val="0000FF"/>
      <w:u w:val="single"/>
    </w:rPr>
  </w:style>
  <w:style w:type="paragraph" w:styleId="10">
    <w:name w:val="List Paragraph"/>
    <w:basedOn w:val="1"/>
    <w:qFormat/>
    <w:uiPriority w:val="99"/>
    <w:pPr>
      <w:ind w:firstLine="420" w:firstLineChars="200"/>
    </w:pPr>
  </w:style>
  <w:style w:type="paragraph" w:customStyle="1" w:styleId="11">
    <w:name w:val="List Paragraph1"/>
    <w:basedOn w:val="1"/>
    <w:qFormat/>
    <w:uiPriority w:val="0"/>
    <w:pPr>
      <w:ind w:firstLine="420" w:firstLineChars="200"/>
    </w:pPr>
    <w:rPr>
      <w:rFonts w:ascii="Calibri" w:hAnsi="Calibri"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2024-11-22T09:34:00Z</dcterms:created>
  <dc:creator>aa</dc:creator>
  <cp:lastModifiedBy>aa</cp:lastModifiedBy>
  <dcterms:modified xsi:type="dcterms:W3CDTF">2024-11-22T09:39:29Z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14AF63FE803B4A5AB3669FCBA29BD2A4_13</vt:lpwstr>
  </property>
</Properties>
</file>