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C8624A">
      <w:pPr>
        <w:jc w:val="center"/>
        <w:rPr>
          <w:rFonts w:hint="default" w:eastAsia="宋体"/>
          <w:b/>
          <w:color w:val="FF0000"/>
          <w:sz w:val="44"/>
          <w:szCs w:val="44"/>
          <w:lang w:val="en-US" w:eastAsia="zh-CN"/>
        </w:rPr>
      </w:pPr>
    </w:p>
    <w:p w14:paraId="6206D93E">
      <w:pPr>
        <w:jc w:val="center"/>
        <w:rPr>
          <w:rFonts w:hint="eastAsia"/>
          <w:b/>
          <w:bCs w:val="0"/>
          <w:color w:val="FF0000"/>
          <w:sz w:val="44"/>
          <w:szCs w:val="44"/>
          <w:lang w:val="en-US" w:eastAsia="zh-CN"/>
        </w:rPr>
      </w:pPr>
      <w:r>
        <w:rPr>
          <w:rFonts w:hint="eastAsia" w:ascii="宋体" w:hAnsi="宋体" w:eastAsia="宋体" w:cs="宋体"/>
          <w:b/>
          <w:bCs w:val="0"/>
          <w:color w:val="FF0000"/>
          <w:sz w:val="72"/>
          <w:szCs w:val="72"/>
          <w:lang w:val="en-US" w:eastAsia="zh-CN"/>
        </w:rPr>
        <w:t>河北建筑工程学院文件</w:t>
      </w:r>
    </w:p>
    <w:p w14:paraId="2033A8FC">
      <w:pPr>
        <w:ind w:firstLine="270" w:firstLineChars="100"/>
        <w:jc w:val="both"/>
        <w:rPr>
          <w:rFonts w:hint="eastAsia" w:ascii="宋体" w:hAnsi="宋体"/>
          <w:color w:val="000000"/>
          <w:sz w:val="27"/>
          <w:szCs w:val="27"/>
        </w:rPr>
      </w:pPr>
    </w:p>
    <w:p w14:paraId="3C0CD8DD">
      <w:pPr>
        <w:jc w:val="center"/>
        <w:rPr>
          <w:rFonts w:hint="default" w:ascii="宋体" w:hAnsi="宋体"/>
          <w:szCs w:val="21"/>
          <w:lang w:val="en-US"/>
        </w:rPr>
      </w:pPr>
      <w:bookmarkStart w:id="7" w:name="_GoBack"/>
      <w:r>
        <w:rPr>
          <w:rFonts w:hint="eastAsia" w:ascii="仿宋" w:hAnsi="仿宋" w:eastAsia="仿宋" w:cs="仿宋"/>
          <w:color w:val="000000"/>
          <w:sz w:val="32"/>
          <w:szCs w:val="32"/>
        </w:rPr>
        <w:t>校政〔</w:t>
      </w:r>
      <w:r>
        <w:rPr>
          <w:rFonts w:hint="eastAsia" w:ascii="仿宋" w:hAnsi="仿宋" w:eastAsia="仿宋" w:cs="仿宋"/>
          <w:color w:val="000000"/>
          <w:sz w:val="32"/>
          <w:szCs w:val="32"/>
          <w:lang w:val="en-US" w:eastAsia="zh-CN"/>
        </w:rPr>
        <w:t>2024</w:t>
      </w:r>
      <w:r>
        <w:rPr>
          <w:rFonts w:hint="eastAsia" w:ascii="仿宋" w:hAnsi="仿宋" w:eastAsia="仿宋" w:cs="仿宋"/>
          <w:color w:val="000000"/>
          <w:sz w:val="32"/>
          <w:szCs w:val="32"/>
        </w:rPr>
        <w:t>〕</w:t>
      </w:r>
      <w:r>
        <w:rPr>
          <w:rFonts w:hint="eastAsia" w:ascii="仿宋" w:hAnsi="仿宋" w:eastAsia="仿宋" w:cs="仿宋"/>
          <w:color w:val="000000"/>
          <w:sz w:val="32"/>
          <w:szCs w:val="32"/>
          <w:lang w:val="en-US" w:eastAsia="zh-CN"/>
        </w:rPr>
        <w:t>95</w:t>
      </w:r>
      <w:r>
        <w:rPr>
          <w:rFonts w:hint="eastAsia" w:ascii="仿宋" w:hAnsi="仿宋" w:eastAsia="仿宋" w:cs="仿宋"/>
          <w:color w:val="000000"/>
          <w:sz w:val="32"/>
          <w:szCs w:val="32"/>
        </w:rPr>
        <w:t>号</w:t>
      </w:r>
      <w:r>
        <w:rPr>
          <w:rFonts w:hint="eastAsia"/>
          <w:szCs w:val="21"/>
        </w:rPr>
        <mc:AlternateContent>
          <mc:Choice Requires="wps">
            <w:drawing>
              <wp:anchor distT="0" distB="0" distL="114300" distR="114300" simplePos="0" relativeHeight="251659264" behindDoc="0" locked="0" layoutInCell="1" allowOverlap="1">
                <wp:simplePos x="0" y="0"/>
                <wp:positionH relativeFrom="column">
                  <wp:posOffset>85725</wp:posOffset>
                </wp:positionH>
                <wp:positionV relativeFrom="paragraph">
                  <wp:posOffset>396240</wp:posOffset>
                </wp:positionV>
                <wp:extent cx="5162550" cy="0"/>
                <wp:effectExtent l="0" t="19050" r="0" b="19050"/>
                <wp:wrapNone/>
                <wp:docPr id="2" name="直接连接符 2"/>
                <wp:cNvGraphicFramePr/>
                <a:graphic xmlns:a="http://schemas.openxmlformats.org/drawingml/2006/main">
                  <a:graphicData uri="http://schemas.microsoft.com/office/word/2010/wordprocessingShape">
                    <wps:wsp>
                      <wps:cNvCnPr/>
                      <wps:spPr>
                        <a:xfrm>
                          <a:off x="0" y="0"/>
                          <a:ext cx="5162550" cy="0"/>
                        </a:xfrm>
                        <a:prstGeom prst="line">
                          <a:avLst/>
                        </a:prstGeom>
                        <a:ln w="38100" cap="flat" cmpd="sng">
                          <a:solidFill>
                            <a:srgbClr val="FF0000"/>
                          </a:solidFill>
                          <a:prstDash val="solid"/>
                          <a:headEnd type="none" w="med" len="med"/>
                          <a:tailEnd type="none" w="med" len="med"/>
                        </a:ln>
                        <a:effectLst/>
                      </wps:spPr>
                      <wps:bodyPr upright="1"/>
                    </wps:wsp>
                  </a:graphicData>
                </a:graphic>
              </wp:anchor>
            </w:drawing>
          </mc:Choice>
          <mc:Fallback>
            <w:pict>
              <v:line id="_x0000_s1026" o:spid="_x0000_s1026" o:spt="20" style="position:absolute;left:0pt;margin-left:6.75pt;margin-top:31.2pt;height:0pt;width:406.5pt;z-index:251659264;mso-width-relative:page;mso-height-relative:page;" filled="f" stroked="t" coordsize="21600,21600" o:gfxdata="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IJHzVvYAAAACAEAAA8AAAAAAAAAAQAgAAAAIgAAAGRycy9kb3ducmV2&#10;LnhtbFBLAQIUABQAAAAIAIdO4kD6rUJ4/AEAAPMDAAAOAAAAAAAAAAEAIAAAACcBAABkcnMvZTJv&#10;RG9jLnhtbFBLBQYAAAAABgAGAFkBAACVBQAAAAA=&#10;">
                <v:fill on="f" focussize="0,0"/>
                <v:stroke weight="3pt" color="#FF0000" joinstyle="round"/>
                <v:imagedata o:title=""/>
                <o:lock v:ext="edit" aspectratio="f"/>
              </v:line>
            </w:pict>
          </mc:Fallback>
        </mc:AlternateContent>
      </w:r>
    </w:p>
    <w:bookmarkEnd w:id="7"/>
    <w:p w14:paraId="22C82A24">
      <w:pPr>
        <w:jc w:val="center"/>
        <w:rPr>
          <w:rFonts w:hint="eastAsia"/>
          <w:szCs w:val="21"/>
        </w:rPr>
      </w:pPr>
    </w:p>
    <w:p w14:paraId="2AC4EB58">
      <w:pPr>
        <w:jc w:val="center"/>
        <w:rPr>
          <w:rFonts w:hint="eastAsia" w:eastAsia="宋体"/>
          <w:szCs w:val="21"/>
          <w:lang w:val="en-US" w:eastAsia="zh-CN"/>
        </w:rPr>
      </w:pPr>
      <w:r>
        <w:rPr>
          <w:rFonts w:hint="eastAsia"/>
          <w:szCs w:val="21"/>
          <w:lang w:val="en-US" w:eastAsia="zh-CN"/>
        </w:rPr>
        <w:t xml:space="preserve"> </w:t>
      </w:r>
    </w:p>
    <w:p w14:paraId="47958DDC">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rPr>
        <w:t>关于</w:t>
      </w:r>
      <w:r>
        <w:rPr>
          <w:rFonts w:hint="eastAsia" w:ascii="宋体" w:hAnsi="宋体" w:eastAsia="宋体" w:cs="宋体"/>
          <w:b/>
          <w:bCs/>
          <w:color w:val="auto"/>
          <w:spacing w:val="0"/>
          <w:sz w:val="44"/>
          <w:szCs w:val="44"/>
          <w:lang w:val="en-US" w:eastAsia="zh-CN"/>
        </w:rPr>
        <w:t>印发《河北建筑工程学院</w:t>
      </w:r>
    </w:p>
    <w:p w14:paraId="2A20E0E6">
      <w:pPr>
        <w:keepNext w:val="0"/>
        <w:keepLines w:val="0"/>
        <w:pageBreakBefore w:val="0"/>
        <w:widowControl w:val="0"/>
        <w:kinsoku/>
        <w:wordWrap/>
        <w:overflowPunct/>
        <w:topLinePunct w:val="0"/>
        <w:autoSpaceDE/>
        <w:autoSpaceDN/>
        <w:bidi w:val="0"/>
        <w:adjustRightInd/>
        <w:snapToGrid/>
        <w:spacing w:line="620" w:lineRule="exact"/>
        <w:jc w:val="center"/>
        <w:textAlignment w:val="auto"/>
        <w:rPr>
          <w:rFonts w:hint="eastAsia" w:ascii="宋体" w:hAnsi="宋体" w:eastAsia="宋体" w:cs="宋体"/>
          <w:b/>
          <w:bCs/>
          <w:color w:val="auto"/>
          <w:spacing w:val="0"/>
          <w:sz w:val="44"/>
          <w:szCs w:val="44"/>
          <w:lang w:val="en-US" w:eastAsia="zh-CN"/>
        </w:rPr>
      </w:pPr>
      <w:r>
        <w:rPr>
          <w:rFonts w:hint="eastAsia" w:ascii="宋体" w:hAnsi="宋体" w:eastAsia="宋体" w:cs="宋体"/>
          <w:b/>
          <w:bCs/>
          <w:color w:val="auto"/>
          <w:spacing w:val="0"/>
          <w:sz w:val="44"/>
          <w:szCs w:val="44"/>
          <w:lang w:val="en-US" w:eastAsia="zh-CN"/>
        </w:rPr>
        <w:t>专利申请及转化运用管理办法》的通知</w:t>
      </w:r>
    </w:p>
    <w:p w14:paraId="2A776356">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eastAsia" w:ascii="仿宋" w:hAnsi="仿宋" w:eastAsia="仿宋" w:cs="仿宋"/>
          <w:bCs/>
          <w:color w:val="auto"/>
          <w:sz w:val="32"/>
          <w:szCs w:val="32"/>
          <w:lang w:val="en-US" w:eastAsia="zh-CN"/>
        </w:rPr>
      </w:pPr>
    </w:p>
    <w:p w14:paraId="6B2EA7D0">
      <w:pPr>
        <w:keepNext w:val="0"/>
        <w:keepLines w:val="0"/>
        <w:pageBreakBefore w:val="0"/>
        <w:widowControl w:val="0"/>
        <w:kinsoku/>
        <w:wordWrap/>
        <w:overflowPunct/>
        <w:topLinePunct w:val="0"/>
        <w:autoSpaceDE/>
        <w:autoSpaceDN/>
        <w:bidi w:val="0"/>
        <w:adjustRightInd/>
        <w:snapToGrid/>
        <w:spacing w:line="560" w:lineRule="exact"/>
        <w:jc w:val="both"/>
        <w:textAlignment w:val="auto"/>
        <w:rPr>
          <w:rFonts w:hint="default" w:ascii="仿宋" w:hAnsi="仿宋" w:eastAsia="仿宋" w:cs="仿宋"/>
          <w:bCs/>
          <w:color w:val="auto"/>
          <w:sz w:val="32"/>
          <w:szCs w:val="32"/>
          <w:lang w:val="en-US" w:eastAsia="zh-CN"/>
        </w:rPr>
      </w:pPr>
      <w:r>
        <w:rPr>
          <w:rFonts w:hint="eastAsia" w:ascii="仿宋" w:hAnsi="仿宋" w:eastAsia="仿宋" w:cs="仿宋"/>
          <w:bCs/>
          <w:color w:val="auto"/>
          <w:sz w:val="32"/>
          <w:szCs w:val="32"/>
          <w:lang w:val="en-US" w:eastAsia="zh-CN"/>
        </w:rPr>
        <w:t>全校各单位：</w:t>
      </w:r>
    </w:p>
    <w:p w14:paraId="1473EC95">
      <w:pPr>
        <w:keepNext w:val="0"/>
        <w:keepLines w:val="0"/>
        <w:pageBreakBefore w:val="0"/>
        <w:widowControl w:val="0"/>
        <w:kinsoku/>
        <w:wordWrap/>
        <w:overflowPunct/>
        <w:topLinePunct w:val="0"/>
        <w:autoSpaceDE/>
        <w:autoSpaceDN/>
        <w:bidi w:val="0"/>
        <w:adjustRightInd/>
        <w:snapToGrid/>
        <w:spacing w:line="560" w:lineRule="exact"/>
        <w:ind w:firstLine="640" w:firstLineChars="200"/>
        <w:jc w:val="both"/>
        <w:textAlignment w:val="auto"/>
        <w:rPr>
          <w:rFonts w:hint="eastAsia" w:ascii="仿宋" w:hAnsi="仿宋" w:eastAsia="仿宋" w:cs="仿宋"/>
          <w:sz w:val="32"/>
          <w:szCs w:val="32"/>
          <w:lang w:val="en-US" w:eastAsia="zh-CN"/>
        </w:rPr>
      </w:pPr>
      <w:r>
        <w:rPr>
          <w:rFonts w:hint="eastAsia" w:ascii="仿宋" w:hAnsi="仿宋" w:eastAsia="仿宋" w:cs="仿宋"/>
          <w:bCs/>
          <w:color w:val="auto"/>
          <w:sz w:val="32"/>
          <w:szCs w:val="32"/>
          <w:lang w:eastAsia="zh-CN"/>
        </w:rPr>
        <w:t>为鼓励和保护我校师生的科技创新成果，规范专利申请、管理及转化运用流程，促进科技成果的有效转化和产业化，</w:t>
      </w:r>
      <w:r>
        <w:rPr>
          <w:rFonts w:hint="eastAsia" w:ascii="仿宋" w:hAnsi="仿宋" w:eastAsia="仿宋" w:cs="仿宋"/>
          <w:bCs/>
          <w:color w:val="auto"/>
          <w:sz w:val="32"/>
          <w:szCs w:val="32"/>
          <w:lang w:val="en-US" w:eastAsia="zh-CN"/>
        </w:rPr>
        <w:t>结合学校实际，特制订《河北建筑工程学院专利申请及转化运用管理办法》，现印发给你们，请遵照执行。</w:t>
      </w:r>
    </w:p>
    <w:p w14:paraId="3731C0F8">
      <w:pPr>
        <w:keepNext w:val="0"/>
        <w:keepLines w:val="0"/>
        <w:pageBreakBefore w:val="0"/>
        <w:widowControl w:val="0"/>
        <w:numPr>
          <w:ilvl w:val="0"/>
          <w:numId w:val="0"/>
        </w:numPr>
        <w:kinsoku/>
        <w:wordWrap/>
        <w:overflowPunct/>
        <w:topLinePunct w:val="0"/>
        <w:autoSpaceDE/>
        <w:autoSpaceDN/>
        <w:bidi w:val="0"/>
        <w:adjustRightInd/>
        <w:snapToGrid/>
        <w:spacing w:before="313" w:beforeLines="100" w:after="313" w:afterLines="100" w:line="560" w:lineRule="exact"/>
        <w:ind w:firstLine="640" w:firstLineChars="200"/>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附件：河北建筑工程学院专利申请及转化运用管理办法</w:t>
      </w:r>
    </w:p>
    <w:p w14:paraId="540EB9C2">
      <w:pPr>
        <w:keepNext w:val="0"/>
        <w:keepLines w:val="0"/>
        <w:pageBreakBefore w:val="0"/>
        <w:widowControl w:val="0"/>
        <w:numPr>
          <w:ilvl w:val="0"/>
          <w:numId w:val="0"/>
        </w:numPr>
        <w:kinsoku/>
        <w:wordWrap w:val="0"/>
        <w:overflowPunct/>
        <w:topLinePunct w:val="0"/>
        <w:autoSpaceDE/>
        <w:autoSpaceDN/>
        <w:bidi w:val="0"/>
        <w:adjustRightInd/>
        <w:snapToGrid/>
        <w:spacing w:after="469" w:afterLines="150" w:line="560" w:lineRule="exact"/>
        <w:ind w:firstLine="640" w:firstLineChars="200"/>
        <w:jc w:val="right"/>
        <w:textAlignment w:val="auto"/>
        <w:rPr>
          <w:rFonts w:hint="eastAsia" w:ascii="仿宋" w:hAnsi="仿宋" w:eastAsia="仿宋" w:cs="仿宋"/>
          <w:sz w:val="32"/>
          <w:szCs w:val="32"/>
          <w:lang w:val="en-US" w:eastAsia="zh-CN"/>
        </w:rPr>
      </w:pPr>
    </w:p>
    <w:p w14:paraId="59C4FF7D">
      <w:pPr>
        <w:keepNext w:val="0"/>
        <w:keepLines w:val="0"/>
        <w:pageBreakBefore w:val="0"/>
        <w:widowControl w:val="0"/>
        <w:numPr>
          <w:ilvl w:val="0"/>
          <w:numId w:val="0"/>
        </w:numPr>
        <w:kinsoku/>
        <w:wordWrap w:val="0"/>
        <w:overflowPunct/>
        <w:topLinePunct w:val="0"/>
        <w:autoSpaceDE/>
        <w:autoSpaceDN/>
        <w:bidi w:val="0"/>
        <w:adjustRightInd/>
        <w:snapToGrid/>
        <w:spacing w:after="625" w:afterLines="200" w:line="560" w:lineRule="exact"/>
        <w:ind w:firstLine="640" w:firstLineChars="200"/>
        <w:jc w:val="right"/>
        <w:textAlignment w:val="auto"/>
        <w:rPr>
          <w:rFonts w:hint="eastAsia" w:ascii="仿宋" w:hAnsi="仿宋" w:eastAsia="仿宋" w:cs="仿宋"/>
          <w:sz w:val="32"/>
          <w:szCs w:val="32"/>
          <w:lang w:val="en-US" w:eastAsia="zh-CN"/>
        </w:rPr>
      </w:pPr>
      <w:r>
        <w:rPr>
          <w:rFonts w:hint="eastAsia" w:ascii="仿宋" w:hAnsi="仿宋" w:eastAsia="仿宋" w:cs="仿宋"/>
          <w:sz w:val="32"/>
          <w:szCs w:val="32"/>
          <w:lang w:val="en-US" w:eastAsia="zh-CN"/>
        </w:rPr>
        <w:t xml:space="preserve">2024年11月21日  </w:t>
      </w:r>
    </w:p>
    <w:p w14:paraId="1AA1423C">
      <w:pPr>
        <w:keepNext w:val="0"/>
        <w:keepLines w:val="0"/>
        <w:pageBreakBefore w:val="0"/>
        <w:widowControl w:val="0"/>
        <w:pBdr>
          <w:top w:val="single" w:color="auto" w:sz="4" w:space="1"/>
          <w:bottom w:val="single" w:color="auto" w:sz="4" w:space="1"/>
        </w:pBdr>
        <w:kinsoku/>
        <w:wordWrap/>
        <w:overflowPunct/>
        <w:topLinePunct w:val="0"/>
        <w:autoSpaceDE/>
        <w:autoSpaceDN/>
        <w:bidi w:val="0"/>
        <w:adjustRightInd/>
        <w:snapToGrid/>
        <w:spacing w:line="400" w:lineRule="exact"/>
        <w:ind w:firstLine="140" w:firstLineChars="5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 xml:space="preserve">河北建筑工程学院校长办公室   </w:t>
      </w:r>
      <w:r>
        <w:rPr>
          <w:rFonts w:hint="eastAsia" w:ascii="仿宋" w:hAnsi="仿宋" w:eastAsia="仿宋" w:cs="仿宋"/>
          <w:sz w:val="28"/>
          <w:szCs w:val="28"/>
          <w:lang w:val="en-US" w:eastAsia="zh-CN"/>
        </w:rPr>
        <w:t xml:space="preserve">   </w:t>
      </w:r>
      <w:r>
        <w:rPr>
          <w:rFonts w:hint="eastAsia" w:ascii="仿宋" w:hAnsi="仿宋" w:eastAsia="仿宋" w:cs="仿宋"/>
          <w:sz w:val="28"/>
          <w:szCs w:val="28"/>
        </w:rPr>
        <w:t xml:space="preserve">  </w:t>
      </w:r>
      <w:r>
        <w:rPr>
          <w:rFonts w:hint="eastAsia" w:ascii="仿宋" w:hAnsi="仿宋" w:eastAsia="仿宋" w:cs="仿宋"/>
          <w:sz w:val="28"/>
          <w:szCs w:val="28"/>
          <w:lang w:val="en-US" w:eastAsia="zh-CN"/>
        </w:rPr>
        <w:t xml:space="preserve">    2024</w:t>
      </w:r>
      <w:r>
        <w:rPr>
          <w:rFonts w:hint="eastAsia" w:ascii="仿宋" w:hAnsi="仿宋" w:eastAsia="仿宋" w:cs="仿宋"/>
          <w:sz w:val="28"/>
          <w:szCs w:val="28"/>
        </w:rPr>
        <w:t>年</w:t>
      </w:r>
      <w:r>
        <w:rPr>
          <w:rFonts w:hint="eastAsia" w:ascii="仿宋" w:hAnsi="仿宋" w:eastAsia="仿宋" w:cs="仿宋"/>
          <w:sz w:val="28"/>
          <w:szCs w:val="28"/>
          <w:lang w:val="en-US" w:eastAsia="zh-CN"/>
        </w:rPr>
        <w:t>11</w:t>
      </w:r>
      <w:r>
        <w:rPr>
          <w:rFonts w:hint="eastAsia" w:ascii="仿宋" w:hAnsi="仿宋" w:eastAsia="仿宋" w:cs="仿宋"/>
          <w:sz w:val="28"/>
          <w:szCs w:val="28"/>
        </w:rPr>
        <w:t>月</w:t>
      </w:r>
      <w:r>
        <w:rPr>
          <w:rFonts w:hint="eastAsia" w:ascii="仿宋" w:hAnsi="仿宋" w:eastAsia="仿宋" w:cs="仿宋"/>
          <w:sz w:val="28"/>
          <w:szCs w:val="28"/>
          <w:lang w:val="en-US" w:eastAsia="zh-CN"/>
        </w:rPr>
        <w:t>21</w:t>
      </w:r>
      <w:r>
        <w:rPr>
          <w:rFonts w:hint="eastAsia" w:ascii="仿宋" w:hAnsi="仿宋" w:eastAsia="仿宋" w:cs="仿宋"/>
          <w:sz w:val="28"/>
          <w:szCs w:val="28"/>
        </w:rPr>
        <w:t>日印</w:t>
      </w:r>
      <w:r>
        <w:rPr>
          <w:rFonts w:hint="eastAsia" w:ascii="仿宋" w:hAnsi="仿宋" w:eastAsia="仿宋" w:cs="仿宋"/>
          <w:sz w:val="28"/>
          <w:szCs w:val="28"/>
          <w:lang w:val="en-US" w:eastAsia="zh-CN"/>
        </w:rPr>
        <w:t>发</w:t>
      </w:r>
    </w:p>
    <w:p w14:paraId="7AAC7440">
      <w:pPr>
        <w:bidi w:val="0"/>
        <w:jc w:val="left"/>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附件</w:t>
      </w:r>
    </w:p>
    <w:p w14:paraId="6BA38512">
      <w:pPr>
        <w:spacing w:line="540" w:lineRule="exact"/>
        <w:jc w:val="center"/>
        <w:rPr>
          <w:rFonts w:hint="eastAsia" w:ascii="宋体" w:hAnsi="宋体" w:eastAsia="宋体" w:cs="宋体"/>
          <w:b/>
          <w:bCs/>
          <w:sz w:val="44"/>
          <w:szCs w:val="44"/>
        </w:rPr>
      </w:pPr>
    </w:p>
    <w:p w14:paraId="2485376F">
      <w:pPr>
        <w:spacing w:line="540" w:lineRule="exact"/>
        <w:jc w:val="center"/>
        <w:rPr>
          <w:rFonts w:hint="eastAsia" w:ascii="宋体" w:hAnsi="宋体" w:eastAsia="宋体" w:cs="宋体"/>
          <w:b/>
          <w:bCs/>
          <w:sz w:val="44"/>
          <w:szCs w:val="44"/>
        </w:rPr>
      </w:pPr>
      <w:r>
        <w:rPr>
          <w:rFonts w:hint="eastAsia" w:ascii="宋体" w:hAnsi="宋体" w:eastAsia="宋体" w:cs="宋体"/>
          <w:b/>
          <w:bCs/>
          <w:sz w:val="44"/>
          <w:szCs w:val="44"/>
        </w:rPr>
        <w:t>河北建筑工程学院</w:t>
      </w:r>
    </w:p>
    <w:p w14:paraId="025066A4">
      <w:pPr>
        <w:spacing w:line="540" w:lineRule="exact"/>
        <w:jc w:val="center"/>
        <w:rPr>
          <w:rFonts w:hint="eastAsia" w:ascii="宋体" w:hAnsi="宋体" w:eastAsia="宋体" w:cs="宋体"/>
          <w:b/>
          <w:bCs/>
          <w:sz w:val="44"/>
          <w:szCs w:val="44"/>
        </w:rPr>
      </w:pPr>
      <w:r>
        <w:rPr>
          <w:rFonts w:hint="eastAsia" w:ascii="宋体" w:hAnsi="宋体" w:eastAsia="宋体" w:cs="宋体"/>
          <w:b/>
          <w:bCs/>
          <w:sz w:val="44"/>
          <w:szCs w:val="44"/>
        </w:rPr>
        <w:t>专利申请及转化运用管理办法</w:t>
      </w:r>
    </w:p>
    <w:p w14:paraId="1A2099DE">
      <w:pPr>
        <w:spacing w:line="540" w:lineRule="exact"/>
        <w:jc w:val="center"/>
        <w:rPr>
          <w:rFonts w:hint="eastAsia" w:ascii="宋体" w:hAnsi="宋体" w:eastAsia="宋体" w:cs="宋体"/>
          <w:b/>
          <w:bCs/>
          <w:sz w:val="44"/>
          <w:szCs w:val="44"/>
        </w:rPr>
      </w:pPr>
    </w:p>
    <w:p w14:paraId="14A02EFD">
      <w:pPr>
        <w:pStyle w:val="5"/>
        <w:numPr>
          <w:ilvl w:val="0"/>
          <w:numId w:val="1"/>
        </w:numPr>
        <w:spacing w:line="540" w:lineRule="exact"/>
        <w:ind w:left="0" w:firstLine="0" w:firstLineChars="0"/>
        <w:jc w:val="center"/>
        <w:rPr>
          <w:rFonts w:hint="eastAsia" w:ascii="黑体" w:hAnsi="黑体" w:eastAsia="黑体"/>
          <w:bCs/>
          <w:sz w:val="32"/>
          <w:szCs w:val="32"/>
        </w:rPr>
      </w:pPr>
      <w:r>
        <w:rPr>
          <w:rFonts w:ascii="黑体" w:hAnsi="黑体" w:eastAsia="黑体"/>
          <w:bCs/>
          <w:sz w:val="32"/>
          <w:szCs w:val="32"/>
        </w:rPr>
        <w:t>总则</w:t>
      </w:r>
    </w:p>
    <w:p w14:paraId="062014A3">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为鼓励和保护我校师生的科技创新成果，规范专利申请、管理及转化运用流程，促进科技成果的有效转化和产业化</w:t>
      </w:r>
      <w:r>
        <w:rPr>
          <w:rFonts w:ascii="仿宋" w:hAnsi="仿宋" w:eastAsia="仿宋" w:cs="Times New Roman"/>
          <w:color w:val="000000"/>
          <w:sz w:val="32"/>
          <w:szCs w:val="32"/>
        </w:rPr>
        <w:t>，推动我校更好地服务国家</w:t>
      </w:r>
      <w:r>
        <w:rPr>
          <w:rFonts w:hint="eastAsia" w:ascii="仿宋" w:hAnsi="仿宋" w:eastAsia="仿宋" w:cs="Times New Roman"/>
          <w:color w:val="000000"/>
          <w:sz w:val="32"/>
          <w:szCs w:val="32"/>
        </w:rPr>
        <w:t>和区域</w:t>
      </w:r>
      <w:r>
        <w:rPr>
          <w:rFonts w:ascii="仿宋" w:hAnsi="仿宋" w:eastAsia="仿宋" w:cs="Times New Roman"/>
          <w:color w:val="000000"/>
          <w:sz w:val="32"/>
          <w:szCs w:val="32"/>
        </w:rPr>
        <w:t>经济</w:t>
      </w:r>
      <w:r>
        <w:rPr>
          <w:rFonts w:hint="eastAsia" w:ascii="仿宋" w:hAnsi="仿宋" w:eastAsia="仿宋" w:cs="Times New Roman"/>
          <w:color w:val="000000"/>
          <w:sz w:val="32"/>
          <w:szCs w:val="32"/>
        </w:rPr>
        <w:t>社会高质量发展</w:t>
      </w:r>
      <w:r>
        <w:rPr>
          <w:rFonts w:ascii="仿宋" w:hAnsi="仿宋" w:eastAsia="仿宋" w:cs="Times New Roman"/>
          <w:color w:val="000000"/>
          <w:sz w:val="32"/>
          <w:szCs w:val="32"/>
        </w:rPr>
        <w:t>，依据</w:t>
      </w:r>
      <w:r>
        <w:rPr>
          <w:rFonts w:hint="eastAsia" w:ascii="仿宋" w:hAnsi="仿宋" w:eastAsia="仿宋" w:cs="Times New Roman"/>
          <w:color w:val="000000"/>
          <w:sz w:val="32"/>
          <w:szCs w:val="32"/>
        </w:rPr>
        <w:t>《中华人民共和国专利法》</w:t>
      </w:r>
      <w:r>
        <w:rPr>
          <w:rFonts w:ascii="仿宋" w:hAnsi="仿宋" w:eastAsia="仿宋" w:cs="Times New Roman"/>
          <w:color w:val="000000"/>
          <w:sz w:val="32"/>
          <w:szCs w:val="32"/>
        </w:rPr>
        <w:t>《中华人民共和国促进科技成果转化法》《关于促进高等学校专利转化运用的十二条措施》（冀教科〔202</w:t>
      </w:r>
      <w:r>
        <w:rPr>
          <w:rFonts w:hint="eastAsia" w:ascii="仿宋" w:hAnsi="仿宋" w:eastAsia="仿宋" w:cs="Times New Roman"/>
          <w:color w:val="000000"/>
          <w:sz w:val="32"/>
          <w:szCs w:val="32"/>
        </w:rPr>
        <w:t>4</w:t>
      </w:r>
      <w:r>
        <w:rPr>
          <w:rFonts w:ascii="仿宋" w:hAnsi="仿宋" w:eastAsia="仿宋" w:cs="Times New Roman"/>
          <w:color w:val="000000"/>
          <w:sz w:val="32"/>
          <w:szCs w:val="32"/>
        </w:rPr>
        <w:t>〕</w:t>
      </w:r>
      <w:r>
        <w:rPr>
          <w:rFonts w:hint="eastAsia" w:ascii="仿宋" w:hAnsi="仿宋" w:eastAsia="仿宋" w:cs="Times New Roman"/>
          <w:color w:val="000000"/>
          <w:sz w:val="32"/>
          <w:szCs w:val="32"/>
        </w:rPr>
        <w:t>6</w:t>
      </w:r>
      <w:r>
        <w:rPr>
          <w:rFonts w:ascii="仿宋" w:hAnsi="仿宋" w:eastAsia="仿宋" w:cs="Times New Roman"/>
          <w:color w:val="000000"/>
          <w:sz w:val="32"/>
          <w:szCs w:val="32"/>
        </w:rPr>
        <w:t>号）《河北省促进科技成果转化条例》</w:t>
      </w:r>
      <w:r>
        <w:rPr>
          <w:rFonts w:hint="eastAsia" w:ascii="仿宋" w:hAnsi="仿宋" w:eastAsia="仿宋" w:cs="Times New Roman"/>
          <w:color w:val="000000"/>
          <w:sz w:val="32"/>
          <w:szCs w:val="32"/>
        </w:rPr>
        <w:t>《教育部科技部关于加强高等学校科技成果转移转化工作的若干意见》</w:t>
      </w:r>
      <w:r>
        <w:rPr>
          <w:rFonts w:ascii="仿宋" w:hAnsi="仿宋" w:eastAsia="仿宋" w:cs="Times New Roman"/>
          <w:color w:val="000000"/>
          <w:sz w:val="32"/>
          <w:szCs w:val="32"/>
        </w:rPr>
        <w:t>等文件精神，结合我校实际情况，特制定本办法。</w:t>
      </w:r>
    </w:p>
    <w:p w14:paraId="024A7B9E">
      <w:pPr>
        <w:pStyle w:val="6"/>
        <w:numPr>
          <w:ilvl w:val="0"/>
          <w:numId w:val="2"/>
        </w:numPr>
        <w:spacing w:line="620" w:lineRule="exact"/>
        <w:ind w:left="0" w:firstLine="640"/>
        <w:rPr>
          <w:rFonts w:hint="eastAsia" w:ascii="仿宋" w:hAnsi="仿宋" w:eastAsia="仿宋" w:cs="Times New Roman"/>
          <w:color w:val="000000"/>
          <w:sz w:val="32"/>
          <w:szCs w:val="32"/>
        </w:rPr>
      </w:pPr>
      <w:bookmarkStart w:id="0" w:name="OLE_LINK1"/>
      <w:r>
        <w:rPr>
          <w:rFonts w:hint="eastAsia" w:ascii="仿宋" w:hAnsi="仿宋" w:eastAsia="仿宋" w:cs="Times New Roman"/>
          <w:color w:val="000000"/>
          <w:sz w:val="32"/>
          <w:szCs w:val="32"/>
        </w:rPr>
        <w:t>本办法适用于河北建筑工程学院所有教职员工、在校学生以及以学校名义进行的所有科研活动中产生的发明创造、实用新型、外观设计等职务专利的申请、管理、保护、转化及利益分配等活动。</w:t>
      </w:r>
    </w:p>
    <w:bookmarkEnd w:id="0"/>
    <w:p w14:paraId="27990A48">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学校拥有专利的使用权、经营权和处置权；学校依法对职务专利发明人和为专利转化做出重要贡献的其他人员给予奖励。</w:t>
      </w:r>
    </w:p>
    <w:p w14:paraId="52B6EDB6">
      <w:pPr>
        <w:pStyle w:val="6"/>
        <w:numPr>
          <w:ilvl w:val="0"/>
          <w:numId w:val="2"/>
        </w:numPr>
        <w:spacing w:line="620" w:lineRule="exact"/>
        <w:ind w:left="0" w:firstLine="640"/>
        <w:rPr>
          <w:rFonts w:hint="eastAsia" w:ascii="仿宋" w:hAnsi="仿宋" w:eastAsia="仿宋" w:cs="Times New Roman"/>
          <w:color w:val="000000"/>
          <w:sz w:val="32"/>
          <w:szCs w:val="32"/>
        </w:rPr>
      </w:pPr>
      <w:r>
        <w:rPr>
          <w:rFonts w:ascii="仿宋" w:hAnsi="仿宋" w:eastAsia="仿宋" w:cs="Times New Roman"/>
          <w:color w:val="000000"/>
          <w:sz w:val="32"/>
          <w:szCs w:val="32"/>
        </w:rPr>
        <w:t>学校鼓励</w:t>
      </w:r>
      <w:r>
        <w:rPr>
          <w:rFonts w:hint="eastAsia" w:ascii="仿宋" w:hAnsi="仿宋" w:eastAsia="仿宋" w:cs="Times New Roman"/>
          <w:color w:val="000000"/>
          <w:sz w:val="32"/>
          <w:szCs w:val="32"/>
        </w:rPr>
        <w:t>专利</w:t>
      </w:r>
      <w:r>
        <w:rPr>
          <w:rFonts w:ascii="仿宋" w:hAnsi="仿宋" w:eastAsia="仿宋" w:cs="Times New Roman"/>
          <w:color w:val="000000"/>
          <w:sz w:val="32"/>
          <w:szCs w:val="32"/>
        </w:rPr>
        <w:t>首先在中国境内实施。向境外的组织、个人转让或者许可其实施</w:t>
      </w:r>
      <w:r>
        <w:rPr>
          <w:rFonts w:hint="eastAsia" w:ascii="仿宋" w:hAnsi="仿宋" w:eastAsia="仿宋" w:cs="Times New Roman"/>
          <w:color w:val="000000"/>
          <w:sz w:val="32"/>
          <w:szCs w:val="32"/>
        </w:rPr>
        <w:t>职务专利</w:t>
      </w:r>
      <w:r>
        <w:rPr>
          <w:rFonts w:ascii="仿宋" w:hAnsi="仿宋" w:eastAsia="仿宋" w:cs="Times New Roman"/>
          <w:color w:val="000000"/>
          <w:sz w:val="32"/>
          <w:szCs w:val="32"/>
        </w:rPr>
        <w:t>的，应当遵守相关法律、行政法规以及国家有关规定。</w:t>
      </w:r>
    </w:p>
    <w:p w14:paraId="294A2858">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涉及国家安全、国家利益和重大社会公共利益的专利，依照国家有关法</w:t>
      </w:r>
      <w:r>
        <w:rPr>
          <w:rFonts w:ascii="仿宋" w:hAnsi="仿宋" w:eastAsia="仿宋" w:cs="Times New Roman"/>
          <w:color w:val="000000"/>
          <w:sz w:val="32"/>
          <w:szCs w:val="32"/>
        </w:rPr>
        <w:t>律法规的相关规定实施。</w:t>
      </w:r>
    </w:p>
    <w:p w14:paraId="525087EE">
      <w:pPr>
        <w:pStyle w:val="5"/>
        <w:numPr>
          <w:ilvl w:val="0"/>
          <w:numId w:val="1"/>
        </w:numPr>
        <w:spacing w:line="540" w:lineRule="exact"/>
        <w:ind w:left="0" w:firstLine="0" w:firstLineChars="0"/>
        <w:jc w:val="center"/>
        <w:rPr>
          <w:rFonts w:hint="eastAsia" w:ascii="黑体" w:hAnsi="黑体" w:eastAsia="黑体"/>
          <w:bCs/>
          <w:sz w:val="32"/>
          <w:szCs w:val="32"/>
        </w:rPr>
      </w:pPr>
      <w:r>
        <w:rPr>
          <w:rFonts w:hint="eastAsia" w:ascii="黑体" w:hAnsi="黑体" w:eastAsia="黑体"/>
          <w:bCs/>
          <w:sz w:val="32"/>
          <w:szCs w:val="32"/>
        </w:rPr>
        <w:t>组织机构与职责</w:t>
      </w:r>
    </w:p>
    <w:p w14:paraId="2404F650">
      <w:pPr>
        <w:pStyle w:val="6"/>
        <w:numPr>
          <w:ilvl w:val="0"/>
          <w:numId w:val="2"/>
        </w:numPr>
        <w:spacing w:line="620" w:lineRule="exact"/>
        <w:ind w:left="0" w:firstLine="640"/>
        <w:rPr>
          <w:rFonts w:hint="eastAsia" w:ascii="仿宋" w:hAnsi="仿宋" w:eastAsia="仿宋" w:cs="Times New Roman"/>
          <w:color w:val="000000"/>
          <w:sz w:val="32"/>
          <w:szCs w:val="32"/>
        </w:rPr>
      </w:pPr>
      <w:r>
        <w:rPr>
          <w:rFonts w:ascii="仿宋" w:hAnsi="仿宋" w:eastAsia="仿宋" w:cs="Times New Roman"/>
          <w:color w:val="000000"/>
          <w:sz w:val="32"/>
          <w:szCs w:val="32"/>
        </w:rPr>
        <w:t>学校成立</w:t>
      </w:r>
      <w:r>
        <w:rPr>
          <w:rFonts w:hint="eastAsia" w:ascii="仿宋" w:hAnsi="仿宋" w:eastAsia="仿宋" w:cs="Times New Roman"/>
          <w:color w:val="000000"/>
          <w:sz w:val="32"/>
          <w:szCs w:val="32"/>
        </w:rPr>
        <w:t>知识产权管理与运营领导小组，统筹推进专利申报及转化的管理工作，统筹落实赋予科研人员职务专利所有权或长期使用权的实施工作；实行“学校知识产权管理与运营领导小组统一领导、归口管理、分级负责、责任到人”的管理体制。</w:t>
      </w:r>
      <w:r>
        <w:rPr>
          <w:rFonts w:ascii="仿宋" w:hAnsi="仿宋" w:eastAsia="仿宋" w:cs="Times New Roman"/>
          <w:color w:val="000000"/>
          <w:sz w:val="32"/>
          <w:szCs w:val="32"/>
        </w:rPr>
        <w:t>重大事项</w:t>
      </w:r>
      <w:r>
        <w:rPr>
          <w:rFonts w:hint="eastAsia" w:ascii="仿宋" w:hAnsi="仿宋" w:eastAsia="仿宋" w:cs="Times New Roman"/>
          <w:color w:val="000000"/>
          <w:sz w:val="32"/>
          <w:szCs w:val="32"/>
        </w:rPr>
        <w:t>提交学校研究，由领导班子集体</w:t>
      </w:r>
      <w:r>
        <w:rPr>
          <w:rFonts w:ascii="仿宋" w:hAnsi="仿宋" w:eastAsia="仿宋" w:cs="Times New Roman"/>
          <w:color w:val="000000"/>
          <w:sz w:val="32"/>
          <w:szCs w:val="32"/>
        </w:rPr>
        <w:t>决策</w:t>
      </w:r>
      <w:r>
        <w:rPr>
          <w:rFonts w:hint="eastAsia" w:ascii="仿宋" w:hAnsi="仿宋" w:eastAsia="仿宋" w:cs="Times New Roman"/>
          <w:color w:val="000000"/>
          <w:sz w:val="32"/>
          <w:szCs w:val="32"/>
        </w:rPr>
        <w:t>。</w:t>
      </w:r>
    </w:p>
    <w:p w14:paraId="01651C3A">
      <w:pPr>
        <w:pStyle w:val="6"/>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领导小组由校长任组长、主管科研和国有资产管理工作副校长任副组长，成员由科研产业处、财务处、资产管理处、各二级学院（系、部）行政负责人组成。</w:t>
      </w:r>
    </w:p>
    <w:p w14:paraId="56AB3823">
      <w:pPr>
        <w:pStyle w:val="6"/>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领导小组下设办公室，办公室设在科研产业处，办公室主任由科研产业处处长兼任。</w:t>
      </w:r>
    </w:p>
    <w:p w14:paraId="3D4C45A4">
      <w:pPr>
        <w:pStyle w:val="6"/>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在科研产业处设置知识产权</w:t>
      </w:r>
      <w:r>
        <w:rPr>
          <w:rFonts w:hint="eastAsia" w:ascii="仿宋" w:hAnsi="仿宋" w:eastAsia="仿宋" w:cs="仿宋"/>
          <w:color w:val="000000"/>
          <w:sz w:val="32"/>
          <w:szCs w:val="32"/>
          <w:lang w:val="en-US" w:eastAsia="zh-CN"/>
        </w:rPr>
        <w:t>专职</w:t>
      </w:r>
      <w:r>
        <w:rPr>
          <w:rFonts w:hint="eastAsia" w:ascii="仿宋" w:hAnsi="仿宋" w:eastAsia="仿宋" w:cs="仿宋"/>
          <w:color w:val="000000"/>
          <w:sz w:val="32"/>
          <w:szCs w:val="32"/>
        </w:rPr>
        <w:t>岗位，优化专利申报及转移转化流程，负责知识产权的组织和实施，指导、协调和服务各单位开展专利申报及转化工作，培育有应用和转化前景的科研成果，做好校内外科研信息的收集、整理及发布，协助有关部门做好以科研成果作价入股产生的技术股份管理等相关工作。</w:t>
      </w:r>
    </w:p>
    <w:p w14:paraId="3B3454EB">
      <w:pPr>
        <w:pStyle w:val="6"/>
        <w:numPr>
          <w:ilvl w:val="0"/>
          <w:numId w:val="3"/>
        </w:numPr>
        <w:spacing w:line="620" w:lineRule="exact"/>
        <w:ind w:firstLine="640"/>
        <w:rPr>
          <w:rFonts w:hint="eastAsia" w:ascii="仿宋" w:hAnsi="仿宋" w:eastAsia="仿宋" w:cs="仿宋"/>
          <w:color w:val="000000"/>
          <w:sz w:val="32"/>
          <w:szCs w:val="32"/>
        </w:rPr>
      </w:pPr>
      <w:r>
        <w:rPr>
          <w:rFonts w:hint="eastAsia" w:ascii="仿宋" w:hAnsi="仿宋" w:eastAsia="仿宋" w:cs="仿宋"/>
          <w:color w:val="000000"/>
          <w:sz w:val="32"/>
          <w:szCs w:val="32"/>
        </w:rPr>
        <w:t>科研产业处、资产管理处和财务处共同行使科研成果类无形资产管理职能。</w:t>
      </w:r>
    </w:p>
    <w:p w14:paraId="0B2748A9">
      <w:pPr>
        <w:pStyle w:val="5"/>
        <w:numPr>
          <w:ilvl w:val="0"/>
          <w:numId w:val="1"/>
        </w:numPr>
        <w:spacing w:line="540" w:lineRule="exact"/>
        <w:ind w:left="0" w:firstLine="0" w:firstLineChars="0"/>
        <w:jc w:val="center"/>
        <w:rPr>
          <w:rFonts w:hint="eastAsia" w:ascii="黑体" w:hAnsi="黑体" w:eastAsia="黑体"/>
          <w:bCs/>
          <w:sz w:val="32"/>
          <w:szCs w:val="32"/>
        </w:rPr>
      </w:pPr>
      <w:r>
        <w:rPr>
          <w:rFonts w:hint="eastAsia" w:ascii="黑体" w:hAnsi="黑体" w:eastAsia="黑体"/>
          <w:bCs/>
          <w:sz w:val="32"/>
          <w:szCs w:val="32"/>
        </w:rPr>
        <w:t>专利申请与审批</w:t>
      </w:r>
    </w:p>
    <w:p w14:paraId="4DA92626">
      <w:pPr>
        <w:pStyle w:val="6"/>
        <w:numPr>
          <w:ilvl w:val="0"/>
          <w:numId w:val="2"/>
        </w:numPr>
        <w:spacing w:line="620" w:lineRule="exact"/>
        <w:ind w:left="0" w:firstLine="640"/>
        <w:rPr>
          <w:rFonts w:hint="eastAsia" w:ascii="仿宋" w:hAnsi="仿宋" w:eastAsia="仿宋" w:cs="Times New Roman"/>
          <w:color w:val="000000"/>
          <w:sz w:val="32"/>
          <w:szCs w:val="32"/>
        </w:rPr>
      </w:pPr>
      <w:bookmarkStart w:id="1" w:name="OLE_LINK2"/>
      <w:r>
        <w:rPr>
          <w:rFonts w:hint="eastAsia" w:ascii="仿宋" w:hAnsi="仿宋" w:eastAsia="仿宋" w:cs="Times New Roman"/>
          <w:color w:val="000000"/>
          <w:sz w:val="32"/>
          <w:szCs w:val="32"/>
        </w:rPr>
        <w:t>申请职务专利，须经学校批准。具体流程如下：</w:t>
      </w:r>
    </w:p>
    <w:p w14:paraId="4B043CC9">
      <w:pPr>
        <w:widowControl/>
        <w:shd w:val="clear" w:color="auto" w:fill="FFFFFF"/>
        <w:spacing w:line="62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（一）创造发明人填写《河北建筑工程学院专利申请登记表》《技术交底书》</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或与之等同的材料</w:t>
      </w:r>
      <w:r>
        <w:rPr>
          <w:rFonts w:hint="eastAsia" w:ascii="仿宋" w:hAnsi="仿宋" w:eastAsia="仿宋" w:cs="仿宋"/>
          <w:kern w:val="0"/>
          <w:sz w:val="32"/>
          <w:szCs w:val="32"/>
          <w:lang w:eastAsia="zh-CN"/>
        </w:rPr>
        <w:t>）</w:t>
      </w:r>
      <w:r>
        <w:rPr>
          <w:rFonts w:hint="eastAsia" w:ascii="仿宋" w:hAnsi="仿宋" w:eastAsia="仿宋" w:cs="仿宋"/>
          <w:kern w:val="0"/>
          <w:sz w:val="32"/>
          <w:szCs w:val="32"/>
        </w:rPr>
        <w:t>等专利申请文件，委托他人代办时还须提交《委托代理合同》《合同审签表》，报所在二级学院（系、部）学术委员会进行技术审查。</w:t>
      </w:r>
    </w:p>
    <w:p w14:paraId="4D39436B">
      <w:pPr>
        <w:widowControl/>
        <w:shd w:val="clear" w:color="auto" w:fill="FFFFFF"/>
        <w:spacing w:line="62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二）二级学院（系、部）学术委员会对专利申请材料进行申请前评估并形成评估报告，评估内容包括技术先进性、市场需求、产业化应用前景、产业成熟度、预期经济效益等多个维度，对于不适宜申请专利的科技成果，应放弃专利申请，减少无价值专利申请。申请前评估通过后，报科研产业处进行形式审查。</w:t>
      </w:r>
    </w:p>
    <w:p w14:paraId="5BB76707">
      <w:pPr>
        <w:widowControl/>
        <w:shd w:val="clear" w:color="auto" w:fill="FFFFFF"/>
        <w:spacing w:line="62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（三）形式审查通过后，报国家知识产权局进行知识产权授权申请。</w:t>
      </w:r>
    </w:p>
    <w:p w14:paraId="754F4474">
      <w:pPr>
        <w:widowControl/>
        <w:shd w:val="clear" w:color="auto" w:fill="FFFFFF"/>
        <w:spacing w:line="620" w:lineRule="exact"/>
        <w:ind w:firstLine="640" w:firstLineChars="200"/>
        <w:rPr>
          <w:rFonts w:hint="eastAsia" w:ascii="仿宋" w:hAnsi="仿宋" w:eastAsia="仿宋" w:cs="仿宋"/>
          <w:kern w:val="0"/>
          <w:sz w:val="32"/>
          <w:szCs w:val="32"/>
        </w:rPr>
      </w:pPr>
      <w:r>
        <w:rPr>
          <w:rFonts w:hint="eastAsia" w:ascii="仿宋" w:hAnsi="仿宋" w:eastAsia="仿宋" w:cs="仿宋"/>
          <w:kern w:val="0"/>
          <w:sz w:val="32"/>
          <w:szCs w:val="32"/>
        </w:rPr>
        <w:t>（</w:t>
      </w:r>
      <w:r>
        <w:rPr>
          <w:rFonts w:hint="eastAsia" w:ascii="仿宋" w:hAnsi="仿宋" w:eastAsia="仿宋" w:cs="仿宋"/>
          <w:kern w:val="0"/>
          <w:sz w:val="32"/>
          <w:szCs w:val="32"/>
          <w:lang w:val="en-US" w:eastAsia="zh-CN"/>
        </w:rPr>
        <w:t>四</w:t>
      </w:r>
      <w:r>
        <w:rPr>
          <w:rFonts w:hint="eastAsia" w:ascii="仿宋" w:hAnsi="仿宋" w:eastAsia="仿宋" w:cs="仿宋"/>
          <w:kern w:val="0"/>
          <w:sz w:val="32"/>
          <w:szCs w:val="32"/>
        </w:rPr>
        <w:t>）取得授权后，报科研产业处和所在二级学院（系、部）登记备案。</w:t>
      </w:r>
      <w:bookmarkEnd w:id="1"/>
    </w:p>
    <w:p w14:paraId="74FF4EFD">
      <w:pPr>
        <w:pStyle w:val="5"/>
        <w:numPr>
          <w:ilvl w:val="0"/>
          <w:numId w:val="1"/>
        </w:numPr>
        <w:spacing w:line="540" w:lineRule="exact"/>
        <w:ind w:left="0" w:firstLine="0" w:firstLineChars="0"/>
        <w:jc w:val="center"/>
        <w:rPr>
          <w:rFonts w:hint="eastAsia" w:ascii="黑体" w:hAnsi="黑体" w:eastAsia="黑体"/>
          <w:bCs/>
          <w:sz w:val="32"/>
          <w:szCs w:val="32"/>
        </w:rPr>
      </w:pPr>
      <w:r>
        <w:rPr>
          <w:rFonts w:hint="eastAsia" w:ascii="黑体" w:hAnsi="黑体" w:eastAsia="黑体"/>
          <w:bCs/>
          <w:sz w:val="32"/>
          <w:szCs w:val="32"/>
        </w:rPr>
        <w:t>专利归属与保护</w:t>
      </w:r>
    </w:p>
    <w:p w14:paraId="679608F9">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执行学校工作任务或利用学校物质技术条件完成的发明创造，其专利权归学院所有或依约定共享。在专利申请前，发明人应采取适当措施保密；专利申请后，按国家规定公开相关信息。</w:t>
      </w:r>
    </w:p>
    <w:p w14:paraId="35E8F66C">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取得授权的职务专利应定期缴纳年费进行维护，以保证其有效性。年费由第一创造发明人负责缴纳，第一创造发明人因特殊原因不能继续缴纳年费时，应在第一时间以书面形式报告学校。</w:t>
      </w:r>
    </w:p>
    <w:p w14:paraId="2C294546">
      <w:pPr>
        <w:pStyle w:val="5"/>
        <w:numPr>
          <w:ilvl w:val="0"/>
          <w:numId w:val="1"/>
        </w:numPr>
        <w:spacing w:line="540" w:lineRule="exact"/>
        <w:ind w:left="0" w:firstLine="0" w:firstLineChars="0"/>
        <w:jc w:val="center"/>
        <w:rPr>
          <w:rFonts w:hint="eastAsia" w:ascii="黑体" w:hAnsi="黑体" w:eastAsia="黑体"/>
          <w:bCs/>
          <w:sz w:val="32"/>
          <w:szCs w:val="32"/>
        </w:rPr>
      </w:pPr>
      <w:r>
        <w:rPr>
          <w:rFonts w:hint="eastAsia" w:ascii="黑体" w:hAnsi="黑体" w:eastAsia="黑体"/>
          <w:bCs/>
          <w:sz w:val="32"/>
          <w:szCs w:val="32"/>
        </w:rPr>
        <w:t>专利转化与运用</w:t>
      </w:r>
    </w:p>
    <w:p w14:paraId="7CBFF5BF">
      <w:pPr>
        <w:pStyle w:val="6"/>
        <w:numPr>
          <w:ilvl w:val="0"/>
          <w:numId w:val="2"/>
        </w:numPr>
        <w:spacing w:line="620" w:lineRule="exact"/>
        <w:ind w:left="0" w:firstLine="640"/>
        <w:rPr>
          <w:rFonts w:hint="eastAsia" w:ascii="仿宋" w:hAnsi="仿宋" w:eastAsia="仿宋" w:cs="Times New Roman"/>
          <w:color w:val="000000"/>
          <w:sz w:val="32"/>
          <w:szCs w:val="32"/>
        </w:rPr>
      </w:pPr>
      <w:bookmarkStart w:id="2" w:name="OLE_LINK3"/>
      <w:r>
        <w:rPr>
          <w:rFonts w:ascii="仿宋" w:hAnsi="仿宋" w:eastAsia="仿宋" w:cs="Times New Roman"/>
          <w:color w:val="000000"/>
          <w:sz w:val="32"/>
          <w:szCs w:val="32"/>
        </w:rPr>
        <w:t>学校</w:t>
      </w:r>
      <w:r>
        <w:rPr>
          <w:rFonts w:hint="eastAsia" w:ascii="仿宋" w:hAnsi="仿宋" w:eastAsia="仿宋" w:cs="Times New Roman"/>
          <w:color w:val="000000"/>
          <w:sz w:val="32"/>
          <w:szCs w:val="32"/>
        </w:rPr>
        <w:t>对</w:t>
      </w:r>
      <w:r>
        <w:rPr>
          <w:rFonts w:ascii="仿宋" w:hAnsi="仿宋" w:eastAsia="仿宋" w:cs="Times New Roman"/>
          <w:color w:val="000000"/>
          <w:sz w:val="32"/>
          <w:szCs w:val="32"/>
        </w:rPr>
        <w:t>持有的</w:t>
      </w:r>
      <w:r>
        <w:rPr>
          <w:rFonts w:hint="eastAsia" w:ascii="仿宋" w:hAnsi="仿宋" w:eastAsia="仿宋" w:cs="Times New Roman"/>
          <w:color w:val="000000"/>
          <w:sz w:val="32"/>
          <w:szCs w:val="32"/>
        </w:rPr>
        <w:t>职务专利</w:t>
      </w:r>
      <w:r>
        <w:rPr>
          <w:rFonts w:ascii="仿宋" w:hAnsi="仿宋" w:eastAsia="仿宋" w:cs="Times New Roman"/>
          <w:color w:val="000000"/>
          <w:sz w:val="32"/>
          <w:szCs w:val="32"/>
        </w:rPr>
        <w:t>，可以自主决定</w:t>
      </w:r>
      <w:r>
        <w:rPr>
          <w:rFonts w:hint="eastAsia" w:ascii="仿宋" w:hAnsi="仿宋" w:eastAsia="仿宋" w:cs="Times New Roman"/>
          <w:color w:val="000000"/>
          <w:sz w:val="32"/>
          <w:szCs w:val="32"/>
        </w:rPr>
        <w:t>通过</w:t>
      </w:r>
      <w:r>
        <w:rPr>
          <w:rFonts w:ascii="仿宋" w:hAnsi="仿宋" w:eastAsia="仿宋" w:cs="Times New Roman"/>
          <w:color w:val="000000"/>
          <w:sz w:val="32"/>
          <w:szCs w:val="32"/>
        </w:rPr>
        <w:t>转让、许可或者作价投资</w:t>
      </w:r>
      <w:r>
        <w:rPr>
          <w:rFonts w:hint="eastAsia" w:ascii="仿宋" w:hAnsi="仿宋" w:eastAsia="仿宋" w:cs="Times New Roman"/>
          <w:color w:val="000000"/>
          <w:sz w:val="32"/>
          <w:szCs w:val="32"/>
        </w:rPr>
        <w:t>等形式进行</w:t>
      </w:r>
      <w:r>
        <w:rPr>
          <w:rFonts w:ascii="仿宋" w:hAnsi="仿宋" w:eastAsia="仿宋" w:cs="Times New Roman"/>
          <w:color w:val="000000"/>
          <w:sz w:val="32"/>
          <w:szCs w:val="32"/>
        </w:rPr>
        <w:t>，</w:t>
      </w:r>
      <w:r>
        <w:rPr>
          <w:rFonts w:hint="eastAsia" w:ascii="仿宋" w:hAnsi="仿宋" w:eastAsia="仿宋" w:cs="Times New Roman"/>
          <w:color w:val="000000"/>
          <w:sz w:val="32"/>
          <w:szCs w:val="32"/>
        </w:rPr>
        <w:t>并按下列规定执行：</w:t>
      </w:r>
    </w:p>
    <w:p w14:paraId="76471C37">
      <w:pPr>
        <w:pStyle w:val="6"/>
        <w:numPr>
          <w:ilvl w:val="0"/>
          <w:numId w:val="4"/>
        </w:numPr>
        <w:spacing w:line="620" w:lineRule="exact"/>
        <w:ind w:firstLine="640"/>
        <w:rPr>
          <w:rFonts w:hint="eastAsia" w:ascii="仿宋" w:hAnsi="仿宋" w:eastAsia="仿宋" w:cs="Times New Roman"/>
          <w:color w:val="000000"/>
          <w:sz w:val="32"/>
          <w:szCs w:val="32"/>
        </w:rPr>
      </w:pPr>
      <w:r>
        <w:rPr>
          <w:rFonts w:ascii="仿宋" w:hAnsi="仿宋" w:eastAsia="仿宋" w:cs="Times New Roman"/>
          <w:color w:val="000000"/>
          <w:sz w:val="32"/>
          <w:szCs w:val="32"/>
        </w:rPr>
        <w:t>涉及国家秘密、国家安全</w:t>
      </w:r>
      <w:r>
        <w:rPr>
          <w:rFonts w:hint="eastAsia" w:ascii="仿宋" w:hAnsi="仿宋" w:eastAsia="仿宋" w:cs="Times New Roman"/>
          <w:color w:val="000000"/>
          <w:sz w:val="32"/>
          <w:szCs w:val="32"/>
        </w:rPr>
        <w:t>的，</w:t>
      </w:r>
      <w:r>
        <w:rPr>
          <w:rFonts w:ascii="仿宋" w:hAnsi="仿宋" w:eastAsia="仿宋" w:cs="Times New Roman"/>
          <w:color w:val="000000"/>
          <w:sz w:val="32"/>
          <w:szCs w:val="32"/>
        </w:rPr>
        <w:t>需</w:t>
      </w:r>
      <w:r>
        <w:rPr>
          <w:rFonts w:hint="eastAsia" w:ascii="仿宋" w:hAnsi="仿宋" w:eastAsia="仿宋" w:cs="Times New Roman"/>
          <w:color w:val="000000"/>
          <w:sz w:val="32"/>
          <w:szCs w:val="32"/>
        </w:rPr>
        <w:t>向上级主管部门</w:t>
      </w:r>
      <w:r>
        <w:rPr>
          <w:rFonts w:ascii="仿宋" w:hAnsi="仿宋" w:eastAsia="仿宋" w:cs="Times New Roman"/>
          <w:color w:val="000000"/>
          <w:sz w:val="32"/>
          <w:szCs w:val="32"/>
        </w:rPr>
        <w:t>审批或者备案</w:t>
      </w:r>
      <w:r>
        <w:rPr>
          <w:rFonts w:hint="eastAsia" w:ascii="仿宋" w:hAnsi="仿宋" w:eastAsia="仿宋" w:cs="Times New Roman"/>
          <w:color w:val="000000"/>
          <w:sz w:val="32"/>
          <w:szCs w:val="32"/>
        </w:rPr>
        <w:t>；其他职务专利，</w:t>
      </w:r>
      <w:r>
        <w:rPr>
          <w:rFonts w:ascii="仿宋" w:hAnsi="仿宋" w:eastAsia="仿宋" w:cs="Times New Roman"/>
          <w:color w:val="000000"/>
          <w:sz w:val="32"/>
          <w:szCs w:val="32"/>
        </w:rPr>
        <w:t>不需</w:t>
      </w:r>
      <w:r>
        <w:rPr>
          <w:rFonts w:hint="eastAsia" w:ascii="仿宋" w:hAnsi="仿宋" w:eastAsia="仿宋" w:cs="Times New Roman"/>
          <w:color w:val="000000"/>
          <w:sz w:val="32"/>
          <w:szCs w:val="32"/>
        </w:rPr>
        <w:t>向上级主管部门</w:t>
      </w:r>
      <w:r>
        <w:rPr>
          <w:rFonts w:ascii="仿宋" w:hAnsi="仿宋" w:eastAsia="仿宋" w:cs="Times New Roman"/>
          <w:color w:val="000000"/>
          <w:sz w:val="32"/>
          <w:szCs w:val="32"/>
        </w:rPr>
        <w:t>审批或者备案</w:t>
      </w:r>
      <w:r>
        <w:rPr>
          <w:rFonts w:hint="eastAsia" w:ascii="仿宋" w:hAnsi="仿宋" w:eastAsia="仿宋" w:cs="Times New Roman"/>
          <w:color w:val="000000"/>
          <w:sz w:val="32"/>
          <w:szCs w:val="32"/>
        </w:rPr>
        <w:t>。</w:t>
      </w:r>
    </w:p>
    <w:p w14:paraId="0D8B1527">
      <w:pPr>
        <w:pStyle w:val="6"/>
        <w:numPr>
          <w:ilvl w:val="0"/>
          <w:numId w:val="4"/>
        </w:numPr>
        <w:spacing w:line="620" w:lineRule="exact"/>
        <w:ind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职务专利转移转化收益全部留归学校，纳入单位预算，不上缴国库。</w:t>
      </w:r>
    </w:p>
    <w:p w14:paraId="726BAD35">
      <w:pPr>
        <w:pStyle w:val="6"/>
        <w:numPr>
          <w:ilvl w:val="0"/>
          <w:numId w:val="4"/>
        </w:numPr>
        <w:spacing w:line="620" w:lineRule="exact"/>
        <w:ind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利用转移转化收益对完成、转化专利作出重要贡献的人员给予奖励和报酬，剩余部分主要用于科学技术研究与成果转化等相关工作。</w:t>
      </w:r>
    </w:p>
    <w:p w14:paraId="5DF5F929">
      <w:pPr>
        <w:pStyle w:val="6"/>
        <w:numPr>
          <w:ilvl w:val="0"/>
          <w:numId w:val="4"/>
        </w:numPr>
        <w:spacing w:line="620" w:lineRule="exact"/>
        <w:ind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职务专利自授权公告之日起满3年无正当理由未实施的，纳入开放许可清单。</w:t>
      </w:r>
      <w:bookmarkEnd w:id="2"/>
    </w:p>
    <w:p w14:paraId="0186E3F9">
      <w:pPr>
        <w:pStyle w:val="6"/>
        <w:numPr>
          <w:ilvl w:val="0"/>
          <w:numId w:val="2"/>
        </w:numPr>
        <w:spacing w:line="620" w:lineRule="exact"/>
        <w:ind w:left="0" w:firstLine="640"/>
        <w:rPr>
          <w:rFonts w:hint="eastAsia" w:ascii="仿宋" w:hAnsi="仿宋" w:eastAsia="仿宋" w:cs="Times New Roman"/>
          <w:color w:val="000000"/>
          <w:sz w:val="32"/>
          <w:szCs w:val="32"/>
        </w:rPr>
      </w:pPr>
      <w:bookmarkStart w:id="3" w:name="OLE_LINK4"/>
      <w:r>
        <w:rPr>
          <w:rFonts w:hint="eastAsia" w:ascii="仿宋" w:hAnsi="仿宋" w:eastAsia="仿宋" w:cs="Times New Roman"/>
          <w:color w:val="000000"/>
          <w:sz w:val="32"/>
          <w:szCs w:val="32"/>
        </w:rPr>
        <w:t>学校师生员工</w:t>
      </w:r>
      <w:r>
        <w:rPr>
          <w:rFonts w:ascii="仿宋" w:hAnsi="仿宋" w:eastAsia="仿宋" w:cs="Times New Roman"/>
          <w:color w:val="000000"/>
          <w:sz w:val="32"/>
          <w:szCs w:val="32"/>
        </w:rPr>
        <w:t>在</w:t>
      </w:r>
      <w:r>
        <w:rPr>
          <w:rFonts w:hint="eastAsia" w:ascii="仿宋" w:hAnsi="仿宋" w:eastAsia="仿宋" w:cs="Times New Roman"/>
          <w:color w:val="000000"/>
          <w:sz w:val="32"/>
          <w:szCs w:val="32"/>
        </w:rPr>
        <w:t>职务专利</w:t>
      </w:r>
      <w:r>
        <w:rPr>
          <w:rFonts w:ascii="仿宋" w:hAnsi="仿宋" w:eastAsia="仿宋" w:cs="Times New Roman"/>
          <w:color w:val="000000"/>
          <w:sz w:val="32"/>
          <w:szCs w:val="32"/>
        </w:rPr>
        <w:t>取得及其转移转化活动中，</w:t>
      </w:r>
      <w:r>
        <w:rPr>
          <w:rFonts w:hint="eastAsia" w:ascii="仿宋" w:hAnsi="仿宋" w:eastAsia="仿宋" w:cs="Times New Roman"/>
          <w:color w:val="000000"/>
          <w:sz w:val="32"/>
          <w:szCs w:val="32"/>
        </w:rPr>
        <w:t>应</w:t>
      </w:r>
      <w:r>
        <w:rPr>
          <w:rFonts w:ascii="仿宋" w:hAnsi="仿宋" w:eastAsia="仿宋" w:cs="Times New Roman"/>
          <w:color w:val="000000"/>
          <w:sz w:val="32"/>
          <w:szCs w:val="32"/>
        </w:rPr>
        <w:t>遵守国家法律法规，尊重市场规律，遵循自愿、互利、公平、诚实信用的原则，遵守科研伦理</w:t>
      </w:r>
      <w:r>
        <w:rPr>
          <w:rFonts w:hint="eastAsia" w:ascii="仿宋" w:hAnsi="仿宋" w:eastAsia="仿宋" w:cs="Times New Roman"/>
          <w:color w:val="000000"/>
          <w:sz w:val="32"/>
          <w:szCs w:val="32"/>
        </w:rPr>
        <w:t>规范和行为准则</w:t>
      </w:r>
      <w:r>
        <w:rPr>
          <w:rFonts w:ascii="仿宋" w:hAnsi="仿宋" w:eastAsia="仿宋" w:cs="Times New Roman"/>
          <w:color w:val="000000"/>
          <w:sz w:val="32"/>
          <w:szCs w:val="32"/>
        </w:rPr>
        <w:t>，坚持科学决策、民主决策、依法决策，在维护国家利益、社会公共利益和他人合法权益、保护知识产权的前提下，保障学校和成果完成人的权益不受损害。</w:t>
      </w:r>
      <w:bookmarkEnd w:id="3"/>
    </w:p>
    <w:p w14:paraId="4AB1551D">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职务专利发明人进行专利转化时，需要向学校提出申请，经学校批准后方可实施专利转化。具体审批流程如下：</w:t>
      </w:r>
    </w:p>
    <w:p w14:paraId="530E51F2">
      <w:pPr>
        <w:pStyle w:val="6"/>
        <w:numPr>
          <w:ilvl w:val="0"/>
          <w:numId w:val="5"/>
        </w:numPr>
        <w:spacing w:line="620" w:lineRule="exact"/>
        <w:ind w:left="0" w:firstLine="567" w:firstLineChars="0"/>
        <w:rPr>
          <w:rFonts w:hint="eastAsia" w:ascii="仿宋" w:hAnsi="仿宋" w:eastAsia="仿宋" w:cs="仿宋"/>
          <w:color w:val="000000"/>
          <w:sz w:val="32"/>
          <w:szCs w:val="32"/>
        </w:rPr>
      </w:pPr>
      <w:r>
        <w:rPr>
          <w:rFonts w:hint="eastAsia" w:ascii="仿宋" w:hAnsi="仿宋" w:eastAsia="仿宋" w:cs="仿宋"/>
          <w:color w:val="000000"/>
          <w:sz w:val="32"/>
          <w:szCs w:val="32"/>
        </w:rPr>
        <w:t>科研产业处面向全校师生定期征集专利转化计划；</w:t>
      </w:r>
    </w:p>
    <w:p w14:paraId="502B3EC8">
      <w:pPr>
        <w:pStyle w:val="6"/>
        <w:numPr>
          <w:ilvl w:val="0"/>
          <w:numId w:val="5"/>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有专利转化计划的发明人向所在二级学院（系、部）提出书面申请，明确</w:t>
      </w:r>
      <w:r>
        <w:rPr>
          <w:rFonts w:hint="eastAsia" w:ascii="仿宋" w:hAnsi="仿宋" w:eastAsia="仿宋" w:cs="仿宋"/>
          <w:color w:val="000000"/>
          <w:sz w:val="32"/>
          <w:szCs w:val="32"/>
          <w:lang w:val="en-US" w:eastAsia="zh-CN"/>
        </w:rPr>
        <w:t>转化</w:t>
      </w:r>
      <w:r>
        <w:rPr>
          <w:rFonts w:hint="eastAsia" w:ascii="仿宋" w:hAnsi="仿宋" w:eastAsia="仿宋" w:cs="仿宋"/>
          <w:color w:val="000000"/>
          <w:sz w:val="32"/>
          <w:szCs w:val="32"/>
        </w:rPr>
        <w:t>意向</w:t>
      </w:r>
      <w:r>
        <w:rPr>
          <w:rFonts w:hint="eastAsia" w:ascii="仿宋" w:hAnsi="仿宋" w:eastAsia="仿宋" w:cs="仿宋"/>
          <w:color w:val="000000"/>
          <w:sz w:val="32"/>
          <w:szCs w:val="32"/>
          <w:lang w:val="en-US" w:eastAsia="zh-CN"/>
        </w:rPr>
        <w:t>和</w:t>
      </w:r>
      <w:r>
        <w:rPr>
          <w:rFonts w:hint="eastAsia" w:ascii="仿宋" w:hAnsi="仿宋" w:eastAsia="仿宋" w:cs="仿宋"/>
          <w:color w:val="000000"/>
          <w:sz w:val="32"/>
          <w:szCs w:val="32"/>
        </w:rPr>
        <w:t>转化金额；</w:t>
      </w:r>
    </w:p>
    <w:p w14:paraId="3C6FC9C1">
      <w:pPr>
        <w:pStyle w:val="6"/>
        <w:numPr>
          <w:ilvl w:val="0"/>
          <w:numId w:val="5"/>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二级学院（系、部）对专利发明人提出的专利转化申请进行初步审查并给出明确意见，并将同意转化的专利转化申请报送科研产业处；</w:t>
      </w:r>
    </w:p>
    <w:p w14:paraId="6260ED6A">
      <w:pPr>
        <w:pStyle w:val="6"/>
        <w:numPr>
          <w:ilvl w:val="0"/>
          <w:numId w:val="5"/>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科研产业处定期组织学术委员会会议审议学校职务专利转化计划，并给出明确意见和建议；</w:t>
      </w:r>
    </w:p>
    <w:p w14:paraId="1528D1A6">
      <w:pPr>
        <w:pStyle w:val="6"/>
        <w:numPr>
          <w:ilvl w:val="0"/>
          <w:numId w:val="5"/>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科研产业处将学术委员会会议审议意见报学校知识产权管理与运营领导小组审批（重大事项提交学校研究，由领导班子集体决策），并及时公布结果；</w:t>
      </w:r>
    </w:p>
    <w:p w14:paraId="3E7C82D7">
      <w:pPr>
        <w:pStyle w:val="6"/>
        <w:numPr>
          <w:ilvl w:val="0"/>
          <w:numId w:val="5"/>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经学校批准的职务专利方可实施转移转化。</w:t>
      </w:r>
    </w:p>
    <w:p w14:paraId="7738CB9F">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职务专利转移转化可以采用以下方式进行：</w:t>
      </w:r>
    </w:p>
    <w:p w14:paraId="15C5549B">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（一）自行投资实施转化；</w:t>
      </w:r>
    </w:p>
    <w:p w14:paraId="2590449F">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（二）向他人转让该专利；</w:t>
      </w:r>
    </w:p>
    <w:p w14:paraId="23734707">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（三）许可他人使用该专利；</w:t>
      </w:r>
    </w:p>
    <w:p w14:paraId="6F5D4ACB">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（四）以该专利作为合作条件，与他人共同实施转化；</w:t>
      </w:r>
    </w:p>
    <w:p w14:paraId="46258EDB">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（五）作价入股；</w:t>
      </w:r>
    </w:p>
    <w:p w14:paraId="1D994433">
      <w:pPr>
        <w:spacing w:line="620" w:lineRule="exact"/>
        <w:ind w:left="560"/>
        <w:rPr>
          <w:rFonts w:hint="eastAsia" w:ascii="仿宋" w:hAnsi="仿宋" w:eastAsia="仿宋" w:cs="仿宋"/>
          <w:color w:val="000000"/>
          <w:sz w:val="32"/>
          <w:szCs w:val="32"/>
        </w:rPr>
      </w:pPr>
      <w:r>
        <w:rPr>
          <w:rFonts w:hint="eastAsia" w:ascii="仿宋" w:hAnsi="仿宋" w:eastAsia="仿宋" w:cs="仿宋"/>
          <w:color w:val="000000"/>
          <w:sz w:val="32"/>
          <w:szCs w:val="32"/>
        </w:rPr>
        <w:t>（六）其他协商确定的方式。</w:t>
      </w:r>
    </w:p>
    <w:p w14:paraId="7DAD5388">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通过技术开发、技术咨询和技术服务，以合作研究项目形式实施专利转化的按照《河北建筑工程学院横向科研经费管理办法（试行）》及相关规定执行。</w:t>
      </w:r>
    </w:p>
    <w:p w14:paraId="51170676">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通过许可方式实施职务专利转化，必须订立《技术许可合同》或《专利实施许可合同》，合同应约定专利的名称和技术内容、许可的方式和范围、许可的年限和起止时间、实施过程中产生的专利归属、违约责任以及纠纷处理方式等。</w:t>
      </w:r>
    </w:p>
    <w:p w14:paraId="09A3CF97">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职务专利的转让价格可通过双方协议定价、技术市场挂牌交易、技术拍卖等方式进行确定。</w:t>
      </w:r>
    </w:p>
    <w:p w14:paraId="3FB3DCC0">
      <w:pPr>
        <w:pStyle w:val="6"/>
        <w:numPr>
          <w:ilvl w:val="0"/>
          <w:numId w:val="6"/>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通过协议定价的，应当在学校公示。公示结束后无异议的，方可实施职务专利转化。</w:t>
      </w:r>
    </w:p>
    <w:p w14:paraId="7CAFC612">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1.公示内容包括专利名称、发明人、简介、转化方式、拟交易价格及形成过程等，公示期不少于5个工作日；转化金额大于等于100万元，公示期不少于15个工作日。</w:t>
      </w:r>
    </w:p>
    <w:p w14:paraId="76E062F5">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2.如公示期内有异议，应中止交易，待核实相关情况后重新公示。</w:t>
      </w:r>
    </w:p>
    <w:p w14:paraId="0944775B">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3.异议必须实名并以书面形式向科研产业处提出。</w:t>
      </w:r>
    </w:p>
    <w:p w14:paraId="646AEABD">
      <w:pPr>
        <w:pStyle w:val="6"/>
        <w:numPr>
          <w:ilvl w:val="0"/>
          <w:numId w:val="6"/>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通过挂牌交易定价的，应当由具有知识产权交易服务资质的中介服务机构出具相关的证明材料。</w:t>
      </w:r>
    </w:p>
    <w:p w14:paraId="020F6A33">
      <w:pPr>
        <w:pStyle w:val="6"/>
        <w:numPr>
          <w:ilvl w:val="0"/>
          <w:numId w:val="6"/>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通过拍卖形式定价的，应当由拍卖机构出具相应的证明材料。</w:t>
      </w:r>
    </w:p>
    <w:p w14:paraId="0FBE168E">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Times New Roman"/>
          <w:color w:val="000000"/>
          <w:sz w:val="32"/>
          <w:szCs w:val="32"/>
        </w:rPr>
        <w:t>学校知识产权管理相关部门和各二级学院（系、部）及职务专利发明人均应积极支持和参与专利转化活动，在各自职权范围内应采取相应措施落实主体责任，按学校合同审批程序办理，</w:t>
      </w:r>
      <w:r>
        <w:rPr>
          <w:rFonts w:hint="eastAsia" w:ascii="仿宋" w:hAnsi="仿宋" w:eastAsia="仿宋" w:cs="仿宋"/>
          <w:color w:val="000000"/>
          <w:sz w:val="32"/>
          <w:szCs w:val="32"/>
        </w:rPr>
        <w:t>具体流程如下：</w:t>
      </w:r>
    </w:p>
    <w:p w14:paraId="2D06FDA4">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（一）职务专利发明人提交双方确认的专利转化协议，并填写《合同审签单》，报所在二级学院（系、部）审查；</w:t>
      </w:r>
    </w:p>
    <w:p w14:paraId="6E33DECD">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（二）二级学院（系、部）对职务专利发明人提出的专利转化协议进行初步审查，给出明确意见，并报送科研产业处审核；</w:t>
      </w:r>
    </w:p>
    <w:p w14:paraId="689A2A6D">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（三）科研产业处对二级学院（系、部）批准转化的专利转化协议进行审核，并给出明确意见，并报学校审批；</w:t>
      </w:r>
    </w:p>
    <w:p w14:paraId="2B8B5F23">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（四）科研产业处将学校的批复意见转达职务专利发明人及其所在二级学院（系、部），并指导职务专利发明人签订专利转化协议；</w:t>
      </w:r>
    </w:p>
    <w:p w14:paraId="0B3A54E6">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（五）职务专利发明人办理专利转化协议签字盖章手续。协议由学校与专利转化受让方签署，不少于一式肆份，由学校校长办公室、科研产业处、职务专利发明人和受让方各执一份。</w:t>
      </w:r>
    </w:p>
    <w:p w14:paraId="10FAB228">
      <w:pPr>
        <w:pStyle w:val="5"/>
        <w:numPr>
          <w:ilvl w:val="0"/>
          <w:numId w:val="1"/>
        </w:numPr>
        <w:spacing w:line="540" w:lineRule="exact"/>
        <w:ind w:left="0" w:firstLine="0" w:firstLineChars="0"/>
        <w:jc w:val="center"/>
        <w:rPr>
          <w:rFonts w:hint="eastAsia" w:ascii="黑体" w:hAnsi="黑体" w:eastAsia="黑体"/>
          <w:bCs/>
          <w:sz w:val="32"/>
          <w:szCs w:val="32"/>
        </w:rPr>
      </w:pPr>
      <w:r>
        <w:rPr>
          <w:rFonts w:hint="eastAsia" w:ascii="黑体" w:hAnsi="黑体" w:eastAsia="黑体"/>
          <w:bCs/>
          <w:sz w:val="32"/>
          <w:szCs w:val="32"/>
        </w:rPr>
        <w:t>收益分配与奖励</w:t>
      </w:r>
    </w:p>
    <w:p w14:paraId="4E11E026">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职务专利转化收益分配原则：</w:t>
      </w:r>
    </w:p>
    <w:p w14:paraId="3E93AEB1">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（一）科技成果转化净收益全部归学校，纳入学校预算。学校、成果完成人原则上按照10%、90%的比例分配转化收益。</w:t>
      </w:r>
    </w:p>
    <w:p w14:paraId="56BFE578">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（二）净收益的10%由学校统筹安排，用于成果完成单位或个人的成果转化工作奖励。</w:t>
      </w:r>
    </w:p>
    <w:p w14:paraId="547658EF">
      <w:pPr>
        <w:spacing w:line="620" w:lineRule="exact"/>
        <w:ind w:firstLine="640" w:firstLineChars="200"/>
        <w:rPr>
          <w:rFonts w:hint="eastAsia" w:ascii="仿宋" w:hAnsi="仿宋" w:eastAsia="仿宋" w:cs="仿宋"/>
          <w:color w:val="000000"/>
          <w:sz w:val="32"/>
          <w:szCs w:val="32"/>
        </w:rPr>
      </w:pPr>
      <w:r>
        <w:rPr>
          <w:rFonts w:hint="eastAsia" w:ascii="仿宋" w:hAnsi="仿宋" w:eastAsia="仿宋" w:cs="仿宋"/>
          <w:color w:val="000000"/>
          <w:sz w:val="32"/>
          <w:szCs w:val="32"/>
        </w:rPr>
        <w:t>（三）净收益的90%归完成人所有，由第一完成人负责分配，经所有完成人同意后报学校科研处备案。可选择以下两种方式处理：</w:t>
      </w:r>
    </w:p>
    <w:p w14:paraId="031D3FBD">
      <w:pPr>
        <w:pStyle w:val="6"/>
        <w:adjustRightInd w:val="0"/>
        <w:snapToGrid w:val="0"/>
        <w:spacing w:line="540" w:lineRule="exact"/>
        <w:ind w:firstLine="640"/>
        <w:rPr>
          <w:rFonts w:hint="eastAsia" w:ascii="仿宋" w:hAnsi="仿宋" w:eastAsia="仿宋"/>
          <w:sz w:val="32"/>
          <w:szCs w:val="32"/>
        </w:rPr>
      </w:pPr>
      <w:r>
        <w:rPr>
          <w:rFonts w:hint="eastAsia" w:ascii="仿宋" w:hAnsi="仿宋" w:eastAsia="仿宋"/>
          <w:sz w:val="32"/>
          <w:szCs w:val="32"/>
        </w:rPr>
        <w:t>1.</w:t>
      </w:r>
      <w:r>
        <w:rPr>
          <w:rFonts w:ascii="仿宋" w:hAnsi="仿宋" w:eastAsia="仿宋"/>
          <w:sz w:val="32"/>
          <w:szCs w:val="32"/>
        </w:rPr>
        <w:t>直接领取现金奖励，扣除个人所得税后转入</w:t>
      </w:r>
      <w:r>
        <w:rPr>
          <w:rFonts w:hint="eastAsia" w:ascii="仿宋" w:hAnsi="仿宋" w:eastAsia="仿宋"/>
          <w:sz w:val="32"/>
          <w:szCs w:val="32"/>
        </w:rPr>
        <w:t>成果</w:t>
      </w:r>
      <w:r>
        <w:rPr>
          <w:rFonts w:ascii="仿宋" w:hAnsi="仿宋" w:eastAsia="仿宋"/>
          <w:sz w:val="32"/>
          <w:szCs w:val="32"/>
        </w:rPr>
        <w:t>完成人银行账户；</w:t>
      </w:r>
    </w:p>
    <w:p w14:paraId="3C0252DA">
      <w:pPr>
        <w:pStyle w:val="6"/>
        <w:adjustRightInd w:val="0"/>
        <w:snapToGrid w:val="0"/>
        <w:spacing w:line="540" w:lineRule="exact"/>
        <w:ind w:firstLine="640"/>
        <w:rPr>
          <w:rFonts w:hint="eastAsia" w:ascii="仿宋" w:hAnsi="仿宋" w:eastAsia="仿宋"/>
          <w:sz w:val="32"/>
          <w:szCs w:val="32"/>
        </w:rPr>
      </w:pPr>
      <w:r>
        <w:rPr>
          <w:rFonts w:hint="eastAsia" w:ascii="仿宋" w:hAnsi="仿宋" w:eastAsia="仿宋"/>
          <w:sz w:val="32"/>
          <w:szCs w:val="32"/>
        </w:rPr>
        <w:t>2.</w:t>
      </w:r>
      <w:r>
        <w:rPr>
          <w:rFonts w:ascii="仿宋" w:hAnsi="仿宋" w:eastAsia="仿宋"/>
          <w:sz w:val="32"/>
          <w:szCs w:val="32"/>
        </w:rPr>
        <w:t>用作科研课题经费，按学校横向科研经费管理。</w:t>
      </w:r>
    </w:p>
    <w:p w14:paraId="35978335">
      <w:pPr>
        <w:pStyle w:val="6"/>
        <w:numPr>
          <w:ilvl w:val="0"/>
          <w:numId w:val="2"/>
        </w:numPr>
        <w:spacing w:line="620" w:lineRule="exact"/>
        <w:ind w:left="0" w:firstLine="640"/>
        <w:rPr>
          <w:rFonts w:hint="eastAsia" w:ascii="仿宋" w:hAnsi="仿宋" w:eastAsia="仿宋" w:cs="仿宋"/>
          <w:color w:val="000000"/>
          <w:sz w:val="32"/>
          <w:szCs w:val="32"/>
        </w:rPr>
      </w:pPr>
      <w:r>
        <w:rPr>
          <w:rFonts w:hint="eastAsia" w:ascii="仿宋" w:hAnsi="仿宋" w:eastAsia="仿宋" w:cs="仿宋"/>
          <w:color w:val="000000"/>
          <w:sz w:val="32"/>
          <w:szCs w:val="32"/>
        </w:rPr>
        <w:t>职务专利转化收益分配实行公示制度，明确公示专利转化受益人在专利授权或专利转化过程中的贡献情况及拟分配的奖励金额、占比情况等。</w:t>
      </w:r>
    </w:p>
    <w:p w14:paraId="60E7C895">
      <w:pPr>
        <w:pStyle w:val="5"/>
        <w:numPr>
          <w:ilvl w:val="0"/>
          <w:numId w:val="1"/>
        </w:numPr>
        <w:spacing w:line="540" w:lineRule="exact"/>
        <w:ind w:left="0" w:firstLine="0" w:firstLineChars="0"/>
        <w:jc w:val="center"/>
        <w:rPr>
          <w:rFonts w:hint="eastAsia" w:ascii="黑体" w:hAnsi="黑体" w:eastAsia="黑体"/>
          <w:bCs/>
          <w:sz w:val="32"/>
          <w:szCs w:val="32"/>
        </w:rPr>
      </w:pPr>
      <w:r>
        <w:rPr>
          <w:rFonts w:ascii="黑体" w:hAnsi="黑体" w:eastAsia="黑体"/>
          <w:bCs/>
          <w:sz w:val="32"/>
          <w:szCs w:val="32"/>
        </w:rPr>
        <w:t>保障措施</w:t>
      </w:r>
    </w:p>
    <w:p w14:paraId="6CC10CBE">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学校鼓励职务专利发明人积极开展专利转化，并委托其进行具体的业务接洽，包括办理申请审批手续。</w:t>
      </w:r>
    </w:p>
    <w:p w14:paraId="77BD8E8B">
      <w:pPr>
        <w:pStyle w:val="6"/>
        <w:numPr>
          <w:ilvl w:val="0"/>
          <w:numId w:val="2"/>
        </w:numPr>
        <w:spacing w:line="620" w:lineRule="exact"/>
        <w:ind w:left="0" w:firstLine="640"/>
        <w:rPr>
          <w:rFonts w:hint="eastAsia" w:ascii="仿宋" w:hAnsi="仿宋" w:eastAsia="仿宋" w:cs="Times New Roman"/>
          <w:color w:val="000000"/>
          <w:sz w:val="32"/>
          <w:szCs w:val="32"/>
        </w:rPr>
      </w:pPr>
      <w:bookmarkStart w:id="4" w:name="OLE_LINK5"/>
      <w:r>
        <w:rPr>
          <w:rFonts w:ascii="仿宋" w:hAnsi="仿宋" w:eastAsia="仿宋" w:cs="Times New Roman"/>
          <w:color w:val="000000"/>
          <w:sz w:val="32"/>
          <w:szCs w:val="32"/>
        </w:rPr>
        <w:t>学校支持与第三方独立</w:t>
      </w:r>
      <w:r>
        <w:rPr>
          <w:rFonts w:hint="eastAsia" w:ascii="仿宋" w:hAnsi="仿宋" w:eastAsia="仿宋" w:cs="Times New Roman"/>
          <w:color w:val="000000"/>
          <w:sz w:val="32"/>
          <w:szCs w:val="32"/>
        </w:rPr>
        <w:t>专利</w:t>
      </w:r>
      <w:r>
        <w:rPr>
          <w:rFonts w:ascii="仿宋" w:hAnsi="仿宋" w:eastAsia="仿宋" w:cs="Times New Roman"/>
          <w:color w:val="000000"/>
          <w:sz w:val="32"/>
          <w:szCs w:val="32"/>
        </w:rPr>
        <w:t>转移转化服务机构合作或委托其开展</w:t>
      </w:r>
      <w:r>
        <w:rPr>
          <w:rFonts w:hint="eastAsia" w:ascii="仿宋" w:hAnsi="仿宋" w:eastAsia="仿宋" w:cs="Times New Roman"/>
          <w:color w:val="000000"/>
          <w:sz w:val="32"/>
          <w:szCs w:val="32"/>
        </w:rPr>
        <w:t>职务专利</w:t>
      </w:r>
      <w:r>
        <w:rPr>
          <w:rFonts w:ascii="仿宋" w:hAnsi="仿宋" w:eastAsia="仿宋" w:cs="Times New Roman"/>
          <w:color w:val="000000"/>
          <w:sz w:val="32"/>
          <w:szCs w:val="32"/>
        </w:rPr>
        <w:t>转化，并从</w:t>
      </w:r>
      <w:r>
        <w:rPr>
          <w:rFonts w:hint="eastAsia" w:ascii="仿宋" w:hAnsi="仿宋" w:eastAsia="仿宋" w:cs="Times New Roman"/>
          <w:color w:val="000000"/>
          <w:sz w:val="32"/>
          <w:szCs w:val="32"/>
        </w:rPr>
        <w:t>专利</w:t>
      </w:r>
      <w:r>
        <w:rPr>
          <w:rFonts w:ascii="仿宋" w:hAnsi="仿宋" w:eastAsia="仿宋" w:cs="Times New Roman"/>
          <w:color w:val="000000"/>
          <w:sz w:val="32"/>
          <w:szCs w:val="32"/>
        </w:rPr>
        <w:t>转化收益中支付中介服务费用。</w:t>
      </w:r>
      <w:bookmarkEnd w:id="4"/>
    </w:p>
    <w:p w14:paraId="628111FB">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学校</w:t>
      </w:r>
      <w:r>
        <w:rPr>
          <w:rFonts w:ascii="仿宋" w:hAnsi="仿宋" w:eastAsia="仿宋" w:cs="Times New Roman"/>
          <w:color w:val="000000"/>
          <w:sz w:val="32"/>
          <w:szCs w:val="32"/>
        </w:rPr>
        <w:t>鼓励</w:t>
      </w:r>
      <w:r>
        <w:rPr>
          <w:rFonts w:hint="eastAsia" w:ascii="仿宋" w:hAnsi="仿宋" w:eastAsia="仿宋" w:cs="Times New Roman"/>
          <w:color w:val="000000"/>
          <w:sz w:val="32"/>
          <w:szCs w:val="32"/>
        </w:rPr>
        <w:t>职务专利发明人</w:t>
      </w:r>
      <w:r>
        <w:rPr>
          <w:rFonts w:ascii="仿宋" w:hAnsi="仿宋" w:eastAsia="仿宋" w:cs="Times New Roman"/>
          <w:color w:val="000000"/>
          <w:sz w:val="32"/>
          <w:szCs w:val="32"/>
        </w:rPr>
        <w:t>充分利用各级政府建立的科技成果信息平台，加强</w:t>
      </w:r>
      <w:r>
        <w:rPr>
          <w:rFonts w:hint="eastAsia" w:ascii="仿宋" w:hAnsi="仿宋" w:eastAsia="仿宋" w:cs="Times New Roman"/>
          <w:color w:val="000000"/>
          <w:sz w:val="32"/>
          <w:szCs w:val="32"/>
        </w:rPr>
        <w:t>专利</w:t>
      </w:r>
      <w:r>
        <w:rPr>
          <w:rFonts w:ascii="仿宋" w:hAnsi="仿宋" w:eastAsia="仿宋" w:cs="Times New Roman"/>
          <w:color w:val="000000"/>
          <w:sz w:val="32"/>
          <w:szCs w:val="32"/>
        </w:rPr>
        <w:t>的宣传和展览展示。</w:t>
      </w:r>
    </w:p>
    <w:p w14:paraId="515C3B58">
      <w:pPr>
        <w:pStyle w:val="6"/>
        <w:numPr>
          <w:ilvl w:val="0"/>
          <w:numId w:val="2"/>
        </w:numPr>
        <w:spacing w:line="620" w:lineRule="exact"/>
        <w:ind w:left="0" w:firstLine="640"/>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学校</w:t>
      </w:r>
      <w:r>
        <w:rPr>
          <w:rFonts w:ascii="仿宋" w:hAnsi="仿宋" w:eastAsia="仿宋" w:cs="Times New Roman"/>
          <w:color w:val="000000"/>
          <w:sz w:val="32"/>
          <w:szCs w:val="32"/>
        </w:rPr>
        <w:t>鼓励科技人员面向企业开展技术开发、技术咨询和技术服务等横向合作，与企业联合实施</w:t>
      </w:r>
      <w:r>
        <w:rPr>
          <w:rFonts w:hint="eastAsia" w:ascii="仿宋" w:hAnsi="仿宋" w:eastAsia="仿宋" w:cs="Times New Roman"/>
          <w:color w:val="000000"/>
          <w:sz w:val="32"/>
          <w:szCs w:val="32"/>
        </w:rPr>
        <w:t>职务专利</w:t>
      </w:r>
      <w:r>
        <w:rPr>
          <w:rFonts w:ascii="仿宋" w:hAnsi="仿宋" w:eastAsia="仿宋" w:cs="Times New Roman"/>
          <w:color w:val="000000"/>
          <w:sz w:val="32"/>
          <w:szCs w:val="32"/>
        </w:rPr>
        <w:t>转化。</w:t>
      </w:r>
    </w:p>
    <w:p w14:paraId="20AD62DD">
      <w:pPr>
        <w:pStyle w:val="6"/>
        <w:numPr>
          <w:ilvl w:val="0"/>
          <w:numId w:val="0"/>
        </w:numPr>
        <w:spacing w:line="620" w:lineRule="exact"/>
        <w:rPr>
          <w:rFonts w:hint="eastAsia" w:ascii="仿宋" w:hAnsi="仿宋" w:eastAsia="仿宋" w:cs="Times New Roman"/>
          <w:color w:val="000000"/>
          <w:sz w:val="32"/>
          <w:szCs w:val="32"/>
        </w:rPr>
      </w:pPr>
    </w:p>
    <w:p w14:paraId="04E8FD59">
      <w:pPr>
        <w:pStyle w:val="5"/>
        <w:keepNext w:val="0"/>
        <w:keepLines w:val="0"/>
        <w:pageBreakBefore w:val="0"/>
        <w:widowControl w:val="0"/>
        <w:numPr>
          <w:ilvl w:val="0"/>
          <w:numId w:val="1"/>
        </w:numPr>
        <w:kinsoku/>
        <w:wordWrap/>
        <w:overflowPunct/>
        <w:topLinePunct w:val="0"/>
        <w:autoSpaceDE/>
        <w:autoSpaceDN/>
        <w:bidi w:val="0"/>
        <w:adjustRightInd/>
        <w:snapToGrid/>
        <w:spacing w:line="540" w:lineRule="exact"/>
        <w:ind w:left="0" w:firstLine="0" w:firstLineChars="0"/>
        <w:jc w:val="center"/>
        <w:textAlignment w:val="auto"/>
        <w:rPr>
          <w:rFonts w:hint="eastAsia" w:ascii="黑体" w:hAnsi="黑体" w:eastAsia="黑体"/>
          <w:bCs/>
          <w:sz w:val="32"/>
          <w:szCs w:val="32"/>
        </w:rPr>
      </w:pPr>
      <w:r>
        <w:rPr>
          <w:rFonts w:hint="eastAsia" w:ascii="黑体" w:hAnsi="黑体" w:eastAsia="黑体"/>
          <w:bCs/>
          <w:sz w:val="32"/>
          <w:szCs w:val="32"/>
        </w:rPr>
        <w:t>法律责任</w:t>
      </w:r>
    </w:p>
    <w:p w14:paraId="0740CECD">
      <w:pPr>
        <w:pStyle w:val="6"/>
        <w:keepNext w:val="0"/>
        <w:keepLines w:val="0"/>
        <w:pageBreakBefore w:val="0"/>
        <w:widowControl w:val="0"/>
        <w:numPr>
          <w:ilvl w:val="0"/>
          <w:numId w:val="2"/>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sz w:val="32"/>
          <w:szCs w:val="32"/>
        </w:rPr>
      </w:pPr>
      <w:bookmarkStart w:id="5" w:name="OLE_LINK6"/>
      <w:r>
        <w:rPr>
          <w:rFonts w:hint="eastAsia" w:ascii="仿宋" w:hAnsi="仿宋" w:eastAsia="仿宋" w:cs="Times New Roman"/>
          <w:sz w:val="32"/>
          <w:szCs w:val="32"/>
        </w:rPr>
        <w:t>科技成果产生的职务专利归属于学校。专利发明人或成果负责人不得妨碍职务专利的转化，不得将职务专利及其相关技术资料、数据据为己有，侵犯学校的合法权益。</w:t>
      </w:r>
    </w:p>
    <w:bookmarkEnd w:id="5"/>
    <w:p w14:paraId="1FBF95C3">
      <w:pPr>
        <w:pStyle w:val="6"/>
        <w:keepNext w:val="0"/>
        <w:keepLines w:val="0"/>
        <w:pageBreakBefore w:val="0"/>
        <w:widowControl w:val="0"/>
        <w:numPr>
          <w:ilvl w:val="0"/>
          <w:numId w:val="2"/>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sz w:val="32"/>
          <w:szCs w:val="32"/>
        </w:rPr>
      </w:pPr>
      <w:r>
        <w:rPr>
          <w:rFonts w:hint="eastAsia" w:ascii="仿宋" w:hAnsi="仿宋" w:eastAsia="仿宋" w:cs="Times New Roman"/>
          <w:sz w:val="32"/>
          <w:szCs w:val="32"/>
        </w:rPr>
        <w:t>发生以下情形之一的，学校将根据情节轻重，对当事人予以处分并追究相应责任；如构成犯罪，将移送司法机关追究刑事责任：</w:t>
      </w:r>
    </w:p>
    <w:p w14:paraId="56729658">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擅自转化或变相转化专利，侵犯学校知识产权；</w:t>
      </w:r>
    </w:p>
    <w:p w14:paraId="6AD82C75">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在职务专利转化过程中隐瞒转化收入，未按规定入账；</w:t>
      </w:r>
    </w:p>
    <w:p w14:paraId="2E51C18E">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未能按规定履行合同，导致合同纠纷，严重损害学校声誉和权益；</w:t>
      </w:r>
    </w:p>
    <w:p w14:paraId="5A49B090">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在职务专利转化过程中弄虚作假，采用欺骗手段获取收益或荣誉；</w:t>
      </w:r>
    </w:p>
    <w:p w14:paraId="77A8A929">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在专利转化过程中泄露学校科技成果秘密，造成重大损失；</w:t>
      </w:r>
    </w:p>
    <w:p w14:paraId="7CFBF3DC">
      <w:pPr>
        <w:pStyle w:val="6"/>
        <w:keepNext w:val="0"/>
        <w:keepLines w:val="0"/>
        <w:pageBreakBefore w:val="0"/>
        <w:widowControl w:val="0"/>
        <w:numPr>
          <w:ilvl w:val="0"/>
          <w:numId w:val="7"/>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color w:val="000000"/>
          <w:sz w:val="32"/>
          <w:szCs w:val="32"/>
        </w:rPr>
      </w:pPr>
      <w:r>
        <w:rPr>
          <w:rFonts w:hint="eastAsia" w:ascii="仿宋" w:hAnsi="仿宋" w:eastAsia="仿宋" w:cs="Times New Roman"/>
          <w:color w:val="000000"/>
          <w:sz w:val="32"/>
          <w:szCs w:val="32"/>
        </w:rPr>
        <w:t>其他损害学校声誉和权益的行为。</w:t>
      </w:r>
    </w:p>
    <w:p w14:paraId="545B66DD">
      <w:pPr>
        <w:pStyle w:val="6"/>
        <w:keepNext w:val="0"/>
        <w:keepLines w:val="0"/>
        <w:pageBreakBefore w:val="0"/>
        <w:widowControl w:val="0"/>
        <w:numPr>
          <w:ilvl w:val="0"/>
          <w:numId w:val="2"/>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sz w:val="32"/>
          <w:szCs w:val="32"/>
        </w:rPr>
      </w:pPr>
      <w:r>
        <w:rPr>
          <w:rFonts w:hint="eastAsia" w:ascii="仿宋" w:hAnsi="仿宋" w:eastAsia="仿宋" w:cs="Times New Roman"/>
          <w:sz w:val="32"/>
          <w:szCs w:val="32"/>
        </w:rPr>
        <w:t>专利转化应遵守国家法律法规，维护国家和学校利益，不能损害社会公共利益或他人的合法权益。</w:t>
      </w:r>
    </w:p>
    <w:p w14:paraId="71203495">
      <w:pPr>
        <w:pStyle w:val="5"/>
        <w:keepNext w:val="0"/>
        <w:keepLines w:val="0"/>
        <w:pageBreakBefore w:val="0"/>
        <w:widowControl w:val="0"/>
        <w:numPr>
          <w:ilvl w:val="0"/>
          <w:numId w:val="1"/>
        </w:numPr>
        <w:kinsoku/>
        <w:wordWrap/>
        <w:overflowPunct/>
        <w:topLinePunct w:val="0"/>
        <w:autoSpaceDE/>
        <w:autoSpaceDN/>
        <w:bidi w:val="0"/>
        <w:adjustRightInd/>
        <w:snapToGrid/>
        <w:spacing w:line="540" w:lineRule="exact"/>
        <w:ind w:left="0" w:firstLine="0" w:firstLineChars="0"/>
        <w:jc w:val="center"/>
        <w:textAlignment w:val="auto"/>
        <w:rPr>
          <w:rFonts w:hint="eastAsia" w:ascii="黑体" w:hAnsi="黑体" w:eastAsia="黑体"/>
          <w:bCs/>
          <w:sz w:val="32"/>
          <w:szCs w:val="32"/>
        </w:rPr>
      </w:pPr>
      <w:r>
        <w:rPr>
          <w:rFonts w:ascii="黑体" w:hAnsi="黑体" w:eastAsia="黑体"/>
          <w:bCs/>
          <w:sz w:val="32"/>
          <w:szCs w:val="32"/>
        </w:rPr>
        <w:t xml:space="preserve">附则 </w:t>
      </w:r>
    </w:p>
    <w:p w14:paraId="4F4C2D30">
      <w:pPr>
        <w:pStyle w:val="6"/>
        <w:keepNext w:val="0"/>
        <w:keepLines w:val="0"/>
        <w:pageBreakBefore w:val="0"/>
        <w:widowControl w:val="0"/>
        <w:numPr>
          <w:ilvl w:val="0"/>
          <w:numId w:val="2"/>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sz w:val="32"/>
          <w:szCs w:val="32"/>
        </w:rPr>
      </w:pPr>
      <w:r>
        <w:rPr>
          <w:rFonts w:hint="eastAsia" w:ascii="仿宋" w:hAnsi="仿宋" w:eastAsia="仿宋" w:cs="Times New Roman"/>
          <w:sz w:val="32"/>
          <w:szCs w:val="32"/>
        </w:rPr>
        <w:t>本办法未尽事宜按照国家和学校相关政策和法规执行。</w:t>
      </w:r>
    </w:p>
    <w:p w14:paraId="34C49A2C">
      <w:pPr>
        <w:pStyle w:val="6"/>
        <w:keepNext w:val="0"/>
        <w:keepLines w:val="0"/>
        <w:pageBreakBefore w:val="0"/>
        <w:widowControl w:val="0"/>
        <w:numPr>
          <w:ilvl w:val="0"/>
          <w:numId w:val="2"/>
        </w:numPr>
        <w:kinsoku/>
        <w:wordWrap/>
        <w:overflowPunct/>
        <w:topLinePunct w:val="0"/>
        <w:autoSpaceDE/>
        <w:autoSpaceDN/>
        <w:bidi w:val="0"/>
        <w:adjustRightInd/>
        <w:snapToGrid/>
        <w:spacing w:line="540" w:lineRule="exact"/>
        <w:ind w:left="0" w:firstLine="640"/>
        <w:textAlignment w:val="auto"/>
        <w:rPr>
          <w:rFonts w:hint="eastAsia" w:ascii="仿宋" w:hAnsi="仿宋" w:eastAsia="仿宋" w:cs="Times New Roman"/>
          <w:sz w:val="32"/>
          <w:szCs w:val="32"/>
        </w:rPr>
      </w:pPr>
      <w:bookmarkStart w:id="6" w:name="OLE_LINK7"/>
      <w:r>
        <w:rPr>
          <w:rFonts w:ascii="仿宋" w:hAnsi="仿宋" w:eastAsia="仿宋" w:cs="Times New Roman"/>
          <w:sz w:val="32"/>
          <w:szCs w:val="32"/>
        </w:rPr>
        <w:t>本办法自</w:t>
      </w:r>
      <w:r>
        <w:rPr>
          <w:rFonts w:hint="eastAsia" w:ascii="仿宋" w:hAnsi="仿宋" w:eastAsia="仿宋" w:cs="Times New Roman"/>
          <w:sz w:val="32"/>
          <w:szCs w:val="32"/>
          <w:lang w:val="en-US" w:eastAsia="zh-CN"/>
        </w:rPr>
        <w:t>2024年10月1</w:t>
      </w:r>
      <w:r>
        <w:rPr>
          <w:rFonts w:ascii="仿宋" w:hAnsi="仿宋" w:eastAsia="仿宋" w:cs="Times New Roman"/>
          <w:sz w:val="32"/>
          <w:szCs w:val="32"/>
        </w:rPr>
        <w:t>日起施行</w:t>
      </w:r>
      <w:r>
        <w:rPr>
          <w:rFonts w:hint="eastAsia" w:ascii="仿宋" w:hAnsi="仿宋" w:eastAsia="仿宋" w:cs="Times New Roman"/>
          <w:sz w:val="32"/>
          <w:szCs w:val="32"/>
        </w:rPr>
        <w:t>，具体解释工作由科研产业处承担。</w:t>
      </w:r>
      <w:bookmarkEnd w:id="6"/>
    </w:p>
    <w:p w14:paraId="56D319B5">
      <w:pPr>
        <w:bidi w:val="0"/>
        <w:jc w:val="left"/>
        <w:rPr>
          <w:rFonts w:hint="eastAsia" w:ascii="黑体" w:hAnsi="黑体" w:eastAsia="黑体" w:cs="黑体"/>
          <w:sz w:val="32"/>
          <w:szCs w:val="32"/>
          <w:lang w:val="en-US" w:eastAsia="zh-CN"/>
        </w:rPr>
      </w:pPr>
    </w:p>
    <w:p w14:paraId="56CFE404">
      <w:pPr>
        <w:rPr>
          <w:rFonts w:hint="eastAsia"/>
          <w:szCs w:val="21"/>
        </w:rPr>
      </w:pPr>
    </w:p>
    <w:p w14:paraId="09EEBE29"/>
    <w:p w14:paraId="6DC2BB29"/>
    <w:sectPr>
      <w:footerReference r:id="rId3" w:type="default"/>
      <w:pgSz w:w="11906" w:h="16838"/>
      <w:pgMar w:top="1440" w:right="1800" w:bottom="1440" w:left="1800" w:header="851" w:footer="992"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E9B5CD">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47CD64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wps:txbx>
                    <wps:bodyPr wrap="none" lIns="0" tIns="0" rIns="0" bIns="0" upright="0">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">
              <v:path/>
              <v:fill on="f" focussize="0,0"/>
              <v:stroke on="f"/>
              <v:imagedata o:title=""/>
              <o:lock v:ext="edit" aspectratio="f"/>
              <v:textbox inset="0mm,0mm,0mm,0mm" style="mso-fit-shape-to-text:t;">
                <w:txbxContent>
                  <w:p w14:paraId="047CD640">
                    <w:pPr>
                      <w:pStyle w:val="2"/>
                      <w:rPr>
                        <w:rFonts w:hint="eastAsia" w:ascii="宋体" w:hAnsi="宋体" w:eastAsia="宋体" w:cs="宋体"/>
                        <w:sz w:val="28"/>
                        <w:szCs w:val="28"/>
                      </w:rPr>
                    </w:pPr>
                    <w:r>
                      <w:rPr>
                        <w:rFonts w:hint="eastAsia" w:ascii="宋体" w:hAnsi="宋体" w:eastAsia="宋体" w:cs="宋体"/>
                        <w:sz w:val="28"/>
                        <w:szCs w:val="28"/>
                      </w:rPr>
                      <w:t xml:space="preserve">— </w:t>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  \* MERGEFORMAT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D7F107"/>
    <w:multiLevelType w:val="singleLevel"/>
    <w:tmpl w:val="83D7F107"/>
    <w:lvl w:ilvl="0" w:tentative="0">
      <w:start w:val="1"/>
      <w:numFmt w:val="chineseCounting"/>
      <w:suff w:val="nothing"/>
      <w:lvlText w:val="（%1）"/>
      <w:lvlJc w:val="left"/>
      <w:rPr>
        <w:rFonts w:hint="eastAsia"/>
      </w:rPr>
    </w:lvl>
  </w:abstractNum>
  <w:abstractNum w:abstractNumId="1">
    <w:nsid w:val="A771256E"/>
    <w:multiLevelType w:val="multilevel"/>
    <w:tmpl w:val="A771256E"/>
    <w:lvl w:ilvl="0" w:tentative="0">
      <w:start w:val="1"/>
      <w:numFmt w:val="chineseCountingThousand"/>
      <w:suff w:val="nothing"/>
      <w:lvlText w:val="（%1）"/>
      <w:lvlJc w:val="left"/>
      <w:pPr>
        <w:ind w:left="2384" w:hanging="825"/>
      </w:pPr>
      <w:rPr>
        <w:rFonts w:hint="eastAsia"/>
      </w:rPr>
    </w:lvl>
    <w:lvl w:ilvl="1" w:tentative="0">
      <w:start w:val="1"/>
      <w:numFmt w:val="lowerLetter"/>
      <w:lvlText w:val="%2)"/>
      <w:lvlJc w:val="left"/>
      <w:pPr>
        <w:ind w:left="2399" w:hanging="420"/>
      </w:pPr>
    </w:lvl>
    <w:lvl w:ilvl="2" w:tentative="0">
      <w:start w:val="1"/>
      <w:numFmt w:val="lowerRoman"/>
      <w:lvlText w:val="%3."/>
      <w:lvlJc w:val="right"/>
      <w:pPr>
        <w:ind w:left="2819" w:hanging="420"/>
      </w:pPr>
    </w:lvl>
    <w:lvl w:ilvl="3" w:tentative="0">
      <w:start w:val="1"/>
      <w:numFmt w:val="decimal"/>
      <w:lvlText w:val="%4."/>
      <w:lvlJc w:val="left"/>
      <w:pPr>
        <w:ind w:left="3239" w:hanging="420"/>
      </w:pPr>
    </w:lvl>
    <w:lvl w:ilvl="4" w:tentative="0">
      <w:start w:val="1"/>
      <w:numFmt w:val="lowerLetter"/>
      <w:lvlText w:val="%5)"/>
      <w:lvlJc w:val="left"/>
      <w:pPr>
        <w:ind w:left="3659" w:hanging="420"/>
      </w:pPr>
    </w:lvl>
    <w:lvl w:ilvl="5" w:tentative="0">
      <w:start w:val="1"/>
      <w:numFmt w:val="lowerRoman"/>
      <w:lvlText w:val="%6."/>
      <w:lvlJc w:val="right"/>
      <w:pPr>
        <w:ind w:left="4079" w:hanging="420"/>
      </w:pPr>
    </w:lvl>
    <w:lvl w:ilvl="6" w:tentative="0">
      <w:start w:val="1"/>
      <w:numFmt w:val="decimal"/>
      <w:lvlText w:val="%7."/>
      <w:lvlJc w:val="left"/>
      <w:pPr>
        <w:ind w:left="4499" w:hanging="420"/>
      </w:pPr>
    </w:lvl>
    <w:lvl w:ilvl="7" w:tentative="0">
      <w:start w:val="1"/>
      <w:numFmt w:val="lowerLetter"/>
      <w:lvlText w:val="%8)"/>
      <w:lvlJc w:val="left"/>
      <w:pPr>
        <w:ind w:left="4919" w:hanging="420"/>
      </w:pPr>
    </w:lvl>
    <w:lvl w:ilvl="8" w:tentative="0">
      <w:start w:val="1"/>
      <w:numFmt w:val="lowerRoman"/>
      <w:lvlText w:val="%9."/>
      <w:lvlJc w:val="right"/>
      <w:pPr>
        <w:ind w:left="5339" w:hanging="420"/>
      </w:pPr>
    </w:lvl>
  </w:abstractNum>
  <w:abstractNum w:abstractNumId="2">
    <w:nsid w:val="0C34FD87"/>
    <w:multiLevelType w:val="singleLevel"/>
    <w:tmpl w:val="0C34FD87"/>
    <w:lvl w:ilvl="0" w:tentative="0">
      <w:start w:val="1"/>
      <w:numFmt w:val="chineseCounting"/>
      <w:suff w:val="nothing"/>
      <w:lvlText w:val="（%1）"/>
      <w:lvlJc w:val="left"/>
      <w:rPr>
        <w:rFonts w:hint="eastAsia"/>
      </w:rPr>
    </w:lvl>
  </w:abstractNum>
  <w:abstractNum w:abstractNumId="3">
    <w:nsid w:val="13305DDF"/>
    <w:multiLevelType w:val="multilevel"/>
    <w:tmpl w:val="13305DDF"/>
    <w:lvl w:ilvl="0" w:tentative="0">
      <w:start w:val="1"/>
      <w:numFmt w:val="chineseCountingThousand"/>
      <w:suff w:val="nothing"/>
      <w:lvlText w:val="（%1）"/>
      <w:lvlJc w:val="left"/>
      <w:pPr>
        <w:ind w:left="1281" w:hanging="855"/>
      </w:pPr>
      <w:rPr>
        <w:rFonts w:hint="default"/>
      </w:rPr>
    </w:lvl>
    <w:lvl w:ilvl="1" w:tentative="0">
      <w:start w:val="1"/>
      <w:numFmt w:val="lowerLetter"/>
      <w:lvlText w:val="%2)"/>
      <w:lvlJc w:val="left"/>
      <w:pPr>
        <w:ind w:left="1266" w:hanging="420"/>
      </w:pPr>
      <w:rPr>
        <w:rFonts w:hint="eastAsia"/>
      </w:rPr>
    </w:lvl>
    <w:lvl w:ilvl="2" w:tentative="0">
      <w:start w:val="1"/>
      <w:numFmt w:val="lowerRoman"/>
      <w:lvlText w:val="%3."/>
      <w:lvlJc w:val="right"/>
      <w:pPr>
        <w:ind w:left="1686" w:hanging="420"/>
      </w:pPr>
      <w:rPr>
        <w:rFonts w:hint="eastAsia"/>
      </w:rPr>
    </w:lvl>
    <w:lvl w:ilvl="3" w:tentative="0">
      <w:start w:val="1"/>
      <w:numFmt w:val="decimal"/>
      <w:lvlText w:val="%4."/>
      <w:lvlJc w:val="left"/>
      <w:pPr>
        <w:ind w:left="2106" w:hanging="420"/>
      </w:pPr>
      <w:rPr>
        <w:rFonts w:hint="eastAsia"/>
      </w:rPr>
    </w:lvl>
    <w:lvl w:ilvl="4" w:tentative="0">
      <w:start w:val="1"/>
      <w:numFmt w:val="lowerLetter"/>
      <w:lvlText w:val="%5)"/>
      <w:lvlJc w:val="left"/>
      <w:pPr>
        <w:ind w:left="2526" w:hanging="420"/>
      </w:pPr>
      <w:rPr>
        <w:rFonts w:hint="eastAsia"/>
      </w:rPr>
    </w:lvl>
    <w:lvl w:ilvl="5" w:tentative="0">
      <w:start w:val="1"/>
      <w:numFmt w:val="lowerRoman"/>
      <w:lvlText w:val="%6."/>
      <w:lvlJc w:val="right"/>
      <w:pPr>
        <w:ind w:left="2946" w:hanging="420"/>
      </w:pPr>
      <w:rPr>
        <w:rFonts w:hint="eastAsia"/>
      </w:rPr>
    </w:lvl>
    <w:lvl w:ilvl="6" w:tentative="0">
      <w:start w:val="1"/>
      <w:numFmt w:val="decimal"/>
      <w:lvlText w:val="%7."/>
      <w:lvlJc w:val="left"/>
      <w:pPr>
        <w:ind w:left="3366" w:hanging="420"/>
      </w:pPr>
      <w:rPr>
        <w:rFonts w:hint="eastAsia"/>
      </w:rPr>
    </w:lvl>
    <w:lvl w:ilvl="7" w:tentative="0">
      <w:start w:val="1"/>
      <w:numFmt w:val="lowerLetter"/>
      <w:lvlText w:val="%8)"/>
      <w:lvlJc w:val="left"/>
      <w:pPr>
        <w:ind w:left="3786" w:hanging="420"/>
      </w:pPr>
      <w:rPr>
        <w:rFonts w:hint="eastAsia"/>
      </w:rPr>
    </w:lvl>
    <w:lvl w:ilvl="8" w:tentative="0">
      <w:start w:val="1"/>
      <w:numFmt w:val="lowerRoman"/>
      <w:lvlText w:val="%9."/>
      <w:lvlJc w:val="right"/>
      <w:pPr>
        <w:ind w:left="4206" w:hanging="420"/>
      </w:pPr>
      <w:rPr>
        <w:rFonts w:hint="eastAsia"/>
      </w:rPr>
    </w:lvl>
  </w:abstractNum>
  <w:abstractNum w:abstractNumId="4">
    <w:nsid w:val="3B252D1F"/>
    <w:multiLevelType w:val="multilevel"/>
    <w:tmpl w:val="3B252D1F"/>
    <w:lvl w:ilvl="0" w:tentative="0">
      <w:start w:val="1"/>
      <w:numFmt w:val="japaneseCounting"/>
      <w:lvlText w:val="第%1章"/>
      <w:lvlJc w:val="left"/>
      <w:pPr>
        <w:ind w:left="840" w:hanging="840"/>
      </w:pPr>
      <w:rPr>
        <w:rFonts w:hint="eastAsia" w:ascii="黑体" w:hAnsi="黑体" w:eastAsia="黑体" w:cs="黑体"/>
        <w:b w:val="0"/>
        <w:bCs w:val="0"/>
        <w:sz w:val="32"/>
        <w:szCs w:val="32"/>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4A5C64DD"/>
    <w:multiLevelType w:val="multilevel"/>
    <w:tmpl w:val="4A5C64DD"/>
    <w:lvl w:ilvl="0" w:tentative="0">
      <w:start w:val="1"/>
      <w:numFmt w:val="chineseCountingThousand"/>
      <w:suff w:val="nothing"/>
      <w:lvlText w:val="（%1）"/>
      <w:lvlJc w:val="left"/>
      <w:pPr>
        <w:ind w:left="2384" w:hanging="825"/>
      </w:pPr>
      <w:rPr>
        <w:rFonts w:hint="eastAsia"/>
      </w:rPr>
    </w:lvl>
    <w:lvl w:ilvl="1" w:tentative="0">
      <w:start w:val="1"/>
      <w:numFmt w:val="lowerLetter"/>
      <w:lvlText w:val="%2)"/>
      <w:lvlJc w:val="left"/>
      <w:pPr>
        <w:ind w:left="2399" w:hanging="420"/>
      </w:pPr>
    </w:lvl>
    <w:lvl w:ilvl="2" w:tentative="0">
      <w:start w:val="1"/>
      <w:numFmt w:val="lowerRoman"/>
      <w:lvlText w:val="%3."/>
      <w:lvlJc w:val="right"/>
      <w:pPr>
        <w:ind w:left="2819" w:hanging="420"/>
      </w:pPr>
    </w:lvl>
    <w:lvl w:ilvl="3" w:tentative="0">
      <w:start w:val="1"/>
      <w:numFmt w:val="decimal"/>
      <w:lvlText w:val="%4."/>
      <w:lvlJc w:val="left"/>
      <w:pPr>
        <w:ind w:left="3239" w:hanging="420"/>
      </w:pPr>
    </w:lvl>
    <w:lvl w:ilvl="4" w:tentative="0">
      <w:start w:val="1"/>
      <w:numFmt w:val="lowerLetter"/>
      <w:lvlText w:val="%5)"/>
      <w:lvlJc w:val="left"/>
      <w:pPr>
        <w:ind w:left="3659" w:hanging="420"/>
      </w:pPr>
    </w:lvl>
    <w:lvl w:ilvl="5" w:tentative="0">
      <w:start w:val="1"/>
      <w:numFmt w:val="lowerRoman"/>
      <w:lvlText w:val="%6."/>
      <w:lvlJc w:val="right"/>
      <w:pPr>
        <w:ind w:left="4079" w:hanging="420"/>
      </w:pPr>
    </w:lvl>
    <w:lvl w:ilvl="6" w:tentative="0">
      <w:start w:val="1"/>
      <w:numFmt w:val="decimal"/>
      <w:lvlText w:val="%7."/>
      <w:lvlJc w:val="left"/>
      <w:pPr>
        <w:ind w:left="4499" w:hanging="420"/>
      </w:pPr>
    </w:lvl>
    <w:lvl w:ilvl="7" w:tentative="0">
      <w:start w:val="1"/>
      <w:numFmt w:val="lowerLetter"/>
      <w:lvlText w:val="%8)"/>
      <w:lvlJc w:val="left"/>
      <w:pPr>
        <w:ind w:left="4919" w:hanging="420"/>
      </w:pPr>
    </w:lvl>
    <w:lvl w:ilvl="8" w:tentative="0">
      <w:start w:val="1"/>
      <w:numFmt w:val="lowerRoman"/>
      <w:lvlText w:val="%9."/>
      <w:lvlJc w:val="right"/>
      <w:pPr>
        <w:ind w:left="5339" w:hanging="420"/>
      </w:pPr>
    </w:lvl>
  </w:abstractNum>
  <w:abstractNum w:abstractNumId="6">
    <w:nsid w:val="66824AC5"/>
    <w:multiLevelType w:val="multilevel"/>
    <w:tmpl w:val="66824AC5"/>
    <w:lvl w:ilvl="0" w:tentative="0">
      <w:start w:val="1"/>
      <w:numFmt w:val="chineseCountingThousand"/>
      <w:suff w:val="space"/>
      <w:lvlText w:val="第%1条"/>
      <w:lvlJc w:val="left"/>
      <w:pPr>
        <w:ind w:left="2682" w:hanging="840"/>
      </w:pPr>
      <w:rPr>
        <w:rFonts w:hint="eastAsia" w:ascii="楷体_GB2312" w:hAnsi="黑体" w:eastAsia="楷体_GB2312" w:cs="黑体"/>
        <w:b w:val="0"/>
        <w:bCs/>
        <w:sz w:val="32"/>
        <w:szCs w:val="32"/>
        <w:lang w:val="en-US"/>
      </w:rPr>
    </w:lvl>
    <w:lvl w:ilvl="1" w:tentative="0">
      <w:start w:val="1"/>
      <w:numFmt w:val="lowerLetter"/>
      <w:lvlText w:val="%2)"/>
      <w:lvlJc w:val="left"/>
      <w:pPr>
        <w:ind w:left="1265" w:hanging="420"/>
      </w:pPr>
      <w:rPr>
        <w:rFonts w:hint="eastAsia"/>
      </w:rPr>
    </w:lvl>
    <w:lvl w:ilvl="2" w:tentative="0">
      <w:start w:val="1"/>
      <w:numFmt w:val="lowerRoman"/>
      <w:lvlText w:val="%3."/>
      <w:lvlJc w:val="right"/>
      <w:pPr>
        <w:ind w:left="1685" w:hanging="420"/>
      </w:pPr>
      <w:rPr>
        <w:rFonts w:hint="eastAsia"/>
      </w:rPr>
    </w:lvl>
    <w:lvl w:ilvl="3" w:tentative="0">
      <w:start w:val="1"/>
      <w:numFmt w:val="decimal"/>
      <w:lvlText w:val="%4."/>
      <w:lvlJc w:val="left"/>
      <w:pPr>
        <w:ind w:left="2105" w:hanging="420"/>
      </w:pPr>
      <w:rPr>
        <w:rFonts w:hint="eastAsia"/>
      </w:rPr>
    </w:lvl>
    <w:lvl w:ilvl="4" w:tentative="0">
      <w:start w:val="1"/>
      <w:numFmt w:val="lowerLetter"/>
      <w:lvlText w:val="%5)"/>
      <w:lvlJc w:val="left"/>
      <w:pPr>
        <w:ind w:left="2525" w:hanging="420"/>
      </w:pPr>
      <w:rPr>
        <w:rFonts w:hint="eastAsia"/>
      </w:rPr>
    </w:lvl>
    <w:lvl w:ilvl="5" w:tentative="0">
      <w:start w:val="1"/>
      <w:numFmt w:val="lowerRoman"/>
      <w:lvlText w:val="%6."/>
      <w:lvlJc w:val="right"/>
      <w:pPr>
        <w:ind w:left="2945" w:hanging="420"/>
      </w:pPr>
      <w:rPr>
        <w:rFonts w:hint="eastAsia"/>
      </w:rPr>
    </w:lvl>
    <w:lvl w:ilvl="6" w:tentative="0">
      <w:start w:val="1"/>
      <w:numFmt w:val="decimal"/>
      <w:lvlText w:val="%7."/>
      <w:lvlJc w:val="left"/>
      <w:pPr>
        <w:ind w:left="3365" w:hanging="420"/>
      </w:pPr>
      <w:rPr>
        <w:rFonts w:hint="eastAsia"/>
      </w:rPr>
    </w:lvl>
    <w:lvl w:ilvl="7" w:tentative="0">
      <w:start w:val="1"/>
      <w:numFmt w:val="lowerLetter"/>
      <w:lvlText w:val="%8)"/>
      <w:lvlJc w:val="left"/>
      <w:pPr>
        <w:ind w:left="3785" w:hanging="420"/>
      </w:pPr>
      <w:rPr>
        <w:rFonts w:hint="eastAsia"/>
      </w:rPr>
    </w:lvl>
    <w:lvl w:ilvl="8" w:tentative="0">
      <w:start w:val="1"/>
      <w:numFmt w:val="lowerRoman"/>
      <w:lvlText w:val="%9."/>
      <w:lvlJc w:val="right"/>
      <w:pPr>
        <w:ind w:left="4205" w:hanging="420"/>
      </w:pPr>
      <w:rPr>
        <w:rFonts w:hint="eastAsia"/>
      </w:rPr>
    </w:lvl>
  </w:abstractNum>
  <w:num w:numId="1">
    <w:abstractNumId w:val="4"/>
  </w:num>
  <w:num w:numId="2">
    <w:abstractNumId w:val="6"/>
  </w:num>
  <w:num w:numId="3">
    <w:abstractNumId w:val="2"/>
  </w:num>
  <w:num w:numId="4">
    <w:abstractNumId w:val="0"/>
  </w:num>
  <w:num w:numId="5">
    <w:abstractNumId w:val="5"/>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B364A"/>
    <w:rsid w:val="768B36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szCs w:val="18"/>
    </w:rPr>
  </w:style>
  <w:style w:type="paragraph" w:customStyle="1" w:styleId="5">
    <w:name w:val="List Paragraph1"/>
    <w:basedOn w:val="1"/>
    <w:qFormat/>
    <w:uiPriority w:val="0"/>
    <w:pPr>
      <w:ind w:firstLine="420" w:firstLineChars="200"/>
    </w:pPr>
    <w:rPr>
      <w:rFonts w:ascii="Calibri" w:hAnsi="Calibri" w:eastAsia="宋体" w:cs="Times New Roman"/>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0</TotalTime>
  <ScaleCrop>false</ScaleCrop>
  <LinksUpToDate>false</LinksUpToDate>
  <CharactersWithSpaces>0</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2024-11-22T09:31:00Z</dcterms:created>
  <dc:creator>aa</dc:creator>
  <cp:lastModifiedBy>aa</cp:lastModifiedBy>
  <dcterms:modified xsi:type="dcterms:W3CDTF">2024-11-22T09:32:24Z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7275701B77B9460085D0F30E5F1A04C1_11</vt:lpwstr>
  </property>
</Properties>
</file>