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781F6">
      <w:pPr>
        <w:jc w:val="center"/>
        <w:rPr>
          <w:rFonts w:hint="default" w:eastAsia="宋体"/>
          <w:b/>
          <w:color w:val="FF0000"/>
          <w:sz w:val="44"/>
          <w:szCs w:val="44"/>
          <w:lang w:val="en-US" w:eastAsia="zh-CN"/>
        </w:rPr>
      </w:pPr>
    </w:p>
    <w:p w14:paraId="508F60F2">
      <w:pPr>
        <w:jc w:val="center"/>
        <w:rPr>
          <w:rFonts w:hint="default" w:eastAsia="宋体"/>
          <w:b/>
          <w:color w:val="FF0000"/>
          <w:sz w:val="44"/>
          <w:szCs w:val="44"/>
          <w:lang w:val="en-US" w:eastAsia="zh-CN"/>
        </w:rPr>
      </w:pPr>
    </w:p>
    <w:p w14:paraId="0832F2B5">
      <w:pPr>
        <w:jc w:val="center"/>
        <w:rPr>
          <w:rFonts w:hint="default" w:eastAsia="宋体"/>
          <w:b/>
          <w:color w:val="FF0000"/>
          <w:sz w:val="44"/>
          <w:szCs w:val="44"/>
          <w:lang w:val="en-US" w:eastAsia="zh-CN"/>
        </w:rPr>
      </w:pPr>
    </w:p>
    <w:p w14:paraId="2D367B47">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566738F8">
      <w:pPr>
        <w:ind w:firstLine="270" w:firstLineChars="100"/>
        <w:jc w:val="both"/>
        <w:rPr>
          <w:rFonts w:hint="eastAsia" w:ascii="宋体" w:hAnsi="宋体"/>
          <w:color w:val="000000"/>
          <w:sz w:val="27"/>
          <w:szCs w:val="27"/>
        </w:rPr>
      </w:pPr>
    </w:p>
    <w:p w14:paraId="6A03F653">
      <w:pPr>
        <w:jc w:val="center"/>
        <w:rPr>
          <w:rFonts w:hint="default" w:ascii="宋体" w:hAnsi="宋体"/>
          <w:szCs w:val="21"/>
          <w:lang w:val="en-US"/>
        </w:rPr>
      </w:pPr>
      <w:bookmarkStart w:id="2"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25</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2"/>
    <w:p w14:paraId="0EA6D07D">
      <w:pPr>
        <w:jc w:val="center"/>
        <w:rPr>
          <w:rFonts w:hint="eastAsia"/>
          <w:szCs w:val="21"/>
        </w:rPr>
      </w:pPr>
    </w:p>
    <w:p w14:paraId="761B9EC0">
      <w:pPr>
        <w:jc w:val="center"/>
        <w:rPr>
          <w:rFonts w:hint="eastAsia"/>
          <w:szCs w:val="21"/>
        </w:rPr>
      </w:pPr>
    </w:p>
    <w:p w14:paraId="27EA33F2">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rPr>
      </w:pPr>
      <w:r>
        <w:rPr>
          <w:rFonts w:hint="eastAsia" w:ascii="宋体" w:hAnsi="宋体" w:eastAsia="宋体" w:cs="宋体"/>
          <w:b/>
          <w:bCs/>
          <w:color w:val="auto"/>
          <w:spacing w:val="0"/>
          <w:sz w:val="44"/>
          <w:szCs w:val="44"/>
        </w:rPr>
        <w:t>关于公布2025年硕士研究生指导教师</w:t>
      </w:r>
    </w:p>
    <w:p w14:paraId="6BD3DD5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rPr>
      </w:pPr>
      <w:r>
        <w:rPr>
          <w:rFonts w:hint="eastAsia" w:ascii="宋体" w:hAnsi="宋体" w:eastAsia="宋体" w:cs="宋体"/>
          <w:b/>
          <w:bCs/>
          <w:color w:val="auto"/>
          <w:spacing w:val="0"/>
          <w:sz w:val="44"/>
          <w:szCs w:val="44"/>
        </w:rPr>
        <w:t>资格认定结果的通知</w:t>
      </w:r>
    </w:p>
    <w:p w14:paraId="3A862EA0">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rPr>
      </w:pPr>
    </w:p>
    <w:p w14:paraId="62F8F75A">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b w:val="0"/>
          <w:bCs/>
          <w:sz w:val="32"/>
          <w:szCs w:val="32"/>
        </w:rPr>
      </w:pPr>
      <w:r>
        <w:rPr>
          <w:rFonts w:hint="eastAsia" w:ascii="仿宋" w:hAnsi="仿宋" w:eastAsia="仿宋" w:cs="仿宋"/>
          <w:b w:val="0"/>
          <w:bCs/>
          <w:sz w:val="32"/>
          <w:szCs w:val="32"/>
        </w:rPr>
        <w:t>全校各单位：</w:t>
      </w:r>
    </w:p>
    <w:p w14:paraId="0E17B95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根据学校相关文件精神，由学校学位评定委员会对各分委员会通过的推荐人员进行认定。现公布2025年硕士研究生指导教师资格认定结果。</w:t>
      </w:r>
    </w:p>
    <w:p w14:paraId="6DBC529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一、学术学位硕士研究生指导教师</w:t>
      </w:r>
    </w:p>
    <w:p w14:paraId="33E2DA7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根据《河北建筑工程学院学术学位硕士研究生指导教师资格认定及聘任管理办法》（校政〔2020〕40号）文件规定，在个人申报、学科导师组同意、各二级院（系）学位评定分委员会初审的基础上，经审核，拟授予2名教师学术学位硕士研究生指导教师资格，名单如下：</w:t>
      </w:r>
    </w:p>
    <w:p w14:paraId="581FB6A2">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（一）土木工程学院</w:t>
      </w:r>
    </w:p>
    <w:p w14:paraId="47686A5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土木工程：穆金磊、陈海洋</w:t>
      </w:r>
    </w:p>
    <w:p w14:paraId="551EA08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二、专业学位硕士研究生指导教师</w:t>
      </w:r>
    </w:p>
    <w:p w14:paraId="0CC752F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根据《河北建筑工程学院专业学位硕士研究生指导教师资格认定及聘任管理办法》（校政〔2020〕41号）文件规定，在个人申报、学科导师组同意、各二级院（系）学位评定分委员会初审的基础上，经审核，拟授予2名教师专业学位硕士研究生指导教师资格，名单如下：</w:t>
      </w:r>
    </w:p>
    <w:p w14:paraId="6EC8A2F5">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（一）土木工程学院</w:t>
      </w:r>
    </w:p>
    <w:p w14:paraId="130084D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土木水利：穆金磊、陈海洋</w:t>
      </w:r>
    </w:p>
    <w:p w14:paraId="2BAEDD4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三、硕士研究生校外导师</w:t>
      </w:r>
    </w:p>
    <w:p w14:paraId="2A3F1EC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根据《河北建筑工程学院硕士研究生校外导师管理办法》（校政〔2020〕43号）文件规定，在个人申报、学科导师组同意、各二级院（系）学位评定分委员会初审的基础上，经审核，拟授予13名教师硕士研究生校外导师资格，名单如下：</w:t>
      </w:r>
    </w:p>
    <w:p w14:paraId="1609C0B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土木工程/土木水利：刘军进（中建研科技股份有限公司），对应校内第二导师：陈洪运</w:t>
      </w:r>
    </w:p>
    <w:p w14:paraId="424FF14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市政工程/资源与环境：曹文庚（中国地质科学院水文地质环境地质研究所）</w:t>
      </w:r>
      <w:bookmarkStart w:id="0" w:name="_Hlk186119386"/>
      <w:r>
        <w:rPr>
          <w:rFonts w:hint="eastAsia" w:ascii="仿宋" w:hAnsi="仿宋" w:eastAsia="仿宋" w:cs="仿宋"/>
          <w:sz w:val="32"/>
          <w:szCs w:val="32"/>
        </w:rPr>
        <w:t>，对应校内第二导师：郝桂珍</w:t>
      </w:r>
    </w:p>
    <w:p w14:paraId="29EA39B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市政工程/资源与环境：王妍妍（中国地质科学院水文地质环境地质研究所），对应校内第二导师：郝桂珍</w:t>
      </w:r>
    </w:p>
    <w:p w14:paraId="4C521FA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市政工程/资源与环境：刘建伟（北京建筑大学），对应校内第二导师：郝桂珍</w:t>
      </w:r>
    </w:p>
    <w:bookmarkEnd w:id="0"/>
    <w:p w14:paraId="5C76DFC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电子信息：贾懋珅（北京工业大学），对应校内第二导师：狄巨星</w:t>
      </w:r>
    </w:p>
    <w:p w14:paraId="5696961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电子信息：吕学强（北京信息科技大学），对应校内第二导师：狄巨星</w:t>
      </w:r>
    </w:p>
    <w:p w14:paraId="625A17A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电子信息：解迎刚（北京信息科技大学），对应校内第二导师：狄巨星</w:t>
      </w:r>
    </w:p>
    <w:p w14:paraId="70C7BF8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电子信息：李连鹏（北京信息科技大学），对应校内第二导师：赵建光</w:t>
      </w:r>
    </w:p>
    <w:p w14:paraId="58FEFD1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电子信息：谷宇（内蒙古科技大学），对应校内第二导师：赵建光</w:t>
      </w:r>
    </w:p>
    <w:p w14:paraId="22A18631">
      <w:pPr>
        <w:keepNext w:val="0"/>
        <w:keepLines w:val="0"/>
        <w:pageBreakBefore w:val="0"/>
        <w:widowControl w:val="0"/>
        <w:kinsoku/>
        <w:wordWrap/>
        <w:overflowPunct/>
        <w:topLinePunct w:val="0"/>
        <w:autoSpaceDE/>
        <w:autoSpaceDN/>
        <w:bidi w:val="0"/>
        <w:adjustRightInd/>
        <w:snapToGrid/>
        <w:spacing w:line="560" w:lineRule="exact"/>
        <w:ind w:firstLine="684" w:firstLineChars="200"/>
        <w:textAlignment w:val="auto"/>
        <w:rPr>
          <w:rFonts w:hint="eastAsia" w:ascii="仿宋" w:hAnsi="仿宋" w:eastAsia="仿宋" w:cs="仿宋"/>
          <w:sz w:val="32"/>
          <w:szCs w:val="32"/>
        </w:rPr>
      </w:pPr>
      <w:r>
        <w:rPr>
          <w:rFonts w:hint="eastAsia" w:ascii="仿宋" w:hAnsi="仿宋" w:eastAsia="仿宋" w:cs="仿宋"/>
          <w:spacing w:val="11"/>
          <w:sz w:val="32"/>
          <w:szCs w:val="32"/>
        </w:rPr>
        <w:t>电子信息：周鹏（山东理工大学），对应校内第二导师：</w:t>
      </w:r>
      <w:bookmarkStart w:id="1" w:name="_Hlk193208547"/>
      <w:r>
        <w:rPr>
          <w:rFonts w:hint="eastAsia" w:ascii="仿宋" w:hAnsi="仿宋" w:eastAsia="仿宋" w:cs="仿宋"/>
          <w:sz w:val="32"/>
          <w:szCs w:val="32"/>
        </w:rPr>
        <w:t>李鸿强</w:t>
      </w:r>
      <w:bookmarkEnd w:id="1"/>
    </w:p>
    <w:p w14:paraId="0CFEA953">
      <w:pPr>
        <w:keepNext w:val="0"/>
        <w:keepLines w:val="0"/>
        <w:pageBreakBefore w:val="0"/>
        <w:widowControl w:val="0"/>
        <w:kinsoku/>
        <w:wordWrap/>
        <w:overflowPunct/>
        <w:topLinePunct w:val="0"/>
        <w:autoSpaceDE/>
        <w:autoSpaceDN/>
        <w:bidi w:val="0"/>
        <w:adjustRightInd/>
        <w:snapToGrid/>
        <w:spacing w:line="560" w:lineRule="exact"/>
        <w:ind w:firstLine="684" w:firstLineChars="200"/>
        <w:textAlignment w:val="auto"/>
        <w:rPr>
          <w:rFonts w:hint="eastAsia" w:ascii="仿宋" w:hAnsi="仿宋" w:eastAsia="仿宋" w:cs="仿宋"/>
          <w:sz w:val="32"/>
          <w:szCs w:val="32"/>
        </w:rPr>
      </w:pPr>
      <w:r>
        <w:rPr>
          <w:rFonts w:hint="eastAsia" w:ascii="仿宋" w:hAnsi="仿宋" w:eastAsia="仿宋" w:cs="仿宋"/>
          <w:spacing w:val="11"/>
          <w:sz w:val="32"/>
          <w:szCs w:val="32"/>
        </w:rPr>
        <w:t>电子信息：张瑶（中国农业大学），对应校内第二导师：</w:t>
      </w:r>
      <w:r>
        <w:rPr>
          <w:rFonts w:hint="eastAsia" w:ascii="仿宋" w:hAnsi="仿宋" w:eastAsia="仿宋" w:cs="仿宋"/>
          <w:sz w:val="32"/>
          <w:szCs w:val="32"/>
        </w:rPr>
        <w:t>李鸿强</w:t>
      </w:r>
    </w:p>
    <w:p w14:paraId="1003E30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电子信息：陈丽丽（山东科技大学），对应校内第二导师：麻振华</w:t>
      </w:r>
    </w:p>
    <w:p w14:paraId="54E52B4A">
      <w:pPr>
        <w:keepNext w:val="0"/>
        <w:keepLines w:val="0"/>
        <w:pageBreakBefore w:val="0"/>
        <w:widowControl w:val="0"/>
        <w:kinsoku/>
        <w:wordWrap/>
        <w:overflowPunct/>
        <w:topLinePunct w:val="0"/>
        <w:autoSpaceDE/>
        <w:autoSpaceDN/>
        <w:bidi w:val="0"/>
        <w:adjustRightInd/>
        <w:snapToGrid/>
        <w:spacing w:line="560" w:lineRule="exact"/>
        <w:ind w:firstLine="684" w:firstLineChars="200"/>
        <w:textAlignment w:val="auto"/>
        <w:rPr>
          <w:rFonts w:hint="eastAsia" w:ascii="仿宋" w:hAnsi="仿宋" w:eastAsia="仿宋" w:cs="仿宋"/>
          <w:sz w:val="32"/>
          <w:szCs w:val="32"/>
        </w:rPr>
      </w:pPr>
      <w:r>
        <w:rPr>
          <w:rFonts w:hint="eastAsia" w:ascii="仿宋" w:hAnsi="仿宋" w:eastAsia="仿宋" w:cs="仿宋"/>
          <w:spacing w:val="11"/>
          <w:sz w:val="32"/>
          <w:szCs w:val="32"/>
        </w:rPr>
        <w:t>电子信息：王震（山东科技大学），对应校内第二导师：</w:t>
      </w:r>
      <w:r>
        <w:rPr>
          <w:rFonts w:hint="eastAsia" w:ascii="仿宋" w:hAnsi="仿宋" w:eastAsia="仿宋" w:cs="仿宋"/>
          <w:sz w:val="32"/>
          <w:szCs w:val="32"/>
        </w:rPr>
        <w:t>麻振华</w:t>
      </w:r>
    </w:p>
    <w:p w14:paraId="567463E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p>
    <w:p w14:paraId="60DFB1E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p>
    <w:p w14:paraId="6EB7802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p>
    <w:p w14:paraId="57069C0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rPr>
        <w:t>2025年3月19日</w:t>
      </w:r>
      <w:r>
        <w:rPr>
          <w:rFonts w:hint="eastAsia" w:ascii="仿宋" w:hAnsi="仿宋" w:eastAsia="仿宋" w:cs="仿宋"/>
          <w:sz w:val="32"/>
          <w:szCs w:val="32"/>
          <w:lang w:val="en-US" w:eastAsia="zh-CN"/>
        </w:rPr>
        <w:t xml:space="preserve">  </w:t>
      </w:r>
    </w:p>
    <w:p w14:paraId="166ECB06">
      <w:pPr>
        <w:rPr>
          <w:rFonts w:hint="eastAsia"/>
          <w:lang w:val="en-US" w:eastAsia="zh-CN"/>
        </w:rPr>
      </w:pPr>
    </w:p>
    <w:p w14:paraId="468BA00C">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lang w:val="en-US" w:eastAsia="zh-CN"/>
        </w:rPr>
      </w:pPr>
    </w:p>
    <w:p w14:paraId="5CE2898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lang w:val="en-US" w:eastAsia="zh-CN"/>
        </w:rPr>
      </w:pPr>
    </w:p>
    <w:p w14:paraId="211CCEA9">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lang w:val="en-US" w:eastAsia="zh-CN"/>
        </w:rPr>
      </w:pPr>
    </w:p>
    <w:p w14:paraId="0AFA145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lang w:val="en-US" w:eastAsia="zh-CN"/>
        </w:rPr>
      </w:pPr>
    </w:p>
    <w:p w14:paraId="67B5AA07">
      <w:pPr>
        <w:jc w:val="center"/>
        <w:rPr>
          <w:rFonts w:hint="default" w:eastAsia="宋体"/>
          <w:b/>
          <w:color w:val="FF0000"/>
          <w:sz w:val="44"/>
          <w:szCs w:val="44"/>
          <w:lang w:val="en-US" w:eastAsia="zh-CN"/>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2025</w:t>
      </w:r>
      <w:r>
        <w:rPr>
          <w:rFonts w:hint="eastAsia" w:ascii="仿宋" w:hAnsi="仿宋" w:eastAsia="仿宋" w:cs="仿宋"/>
          <w:sz w:val="28"/>
          <w:szCs w:val="28"/>
        </w:rPr>
        <w:t>年</w:t>
      </w:r>
      <w:r>
        <w:rPr>
          <w:rFonts w:hint="eastAsia" w:ascii="仿宋" w:hAnsi="仿宋" w:eastAsia="仿宋" w:cs="仿宋"/>
          <w:sz w:val="28"/>
          <w:szCs w:val="28"/>
          <w:lang w:val="en-US" w:eastAsia="zh-CN"/>
        </w:rPr>
        <w:t>3</w:t>
      </w:r>
      <w:r>
        <w:rPr>
          <w:rFonts w:hint="eastAsia" w:ascii="仿宋" w:hAnsi="仿宋" w:eastAsia="仿宋" w:cs="仿宋"/>
          <w:sz w:val="28"/>
          <w:szCs w:val="28"/>
        </w:rPr>
        <w:t>月</w:t>
      </w:r>
      <w:r>
        <w:rPr>
          <w:rFonts w:hint="eastAsia" w:ascii="仿宋" w:hAnsi="仿宋" w:eastAsia="仿宋" w:cs="仿宋"/>
          <w:sz w:val="28"/>
          <w:szCs w:val="28"/>
          <w:lang w:val="en-US" w:eastAsia="zh-CN"/>
        </w:rPr>
        <w:t>19</w:t>
      </w:r>
      <w:r>
        <w:rPr>
          <w:rFonts w:hint="eastAsia" w:ascii="仿宋" w:hAnsi="仿宋" w:eastAsia="仿宋" w:cs="仿宋"/>
          <w:sz w:val="28"/>
          <w:szCs w:val="28"/>
        </w:rPr>
        <w:t>日印发</w:t>
      </w:r>
    </w:p>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41E10">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C14791">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7FC14791">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0000000"/>
    <w:rsid w:val="00857548"/>
    <w:rsid w:val="5D241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2353</Words>
  <Characters>2414</Characters>
  <Lines>0</Lines>
  <Paragraphs>0</Paragraphs>
  <TotalTime>0</TotalTime>
  <ScaleCrop>false</ScaleCrop>
  <LinksUpToDate>false</LinksUpToDate>
  <CharactersWithSpaces>2471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2024-04-30T09:14:00Z</dcterms:created>
  <dc:creator>Administrator</dc:creator>
  <cp:lastModifiedBy>aa</cp:lastModifiedBy>
  <dcterms:modified xsi:type="dcterms:W3CDTF">2025-03-24T02:28:35Z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DC8A13F513404F039D68169CA026FDE8_13</vt:lpwstr>
  </property>
  <property fmtid="{D5CDD505-2E9C-101B-9397-08002B2CF9AE}" pid="4" name="KSOTemplateDocerSaveRecord">
    <vt:lpwstr>eyJoZGlkIjoiOGY4ODMwOWI2ZDE2OWVjY2Y4YWZhZDdhYzI3MTc2NzUifQ==</vt:lpwstr>
  </property>
</Properties>
</file>