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98A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FD71347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16C8DA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4D624F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D7F10E9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46DA3053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605CB68">
      <w:pPr>
        <w:jc w:val="center"/>
        <w:rPr>
          <w:rFonts w:hint="default" w:ascii="宋体" w:hAnsi="宋体"/>
          <w:szCs w:val="21"/>
          <w:lang w:val="en-US"/>
        </w:rPr>
      </w:pPr>
      <w:bookmarkStart w:id="2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2"/>
    <w:p w14:paraId="0E2F4352">
      <w:pPr>
        <w:jc w:val="center"/>
        <w:rPr>
          <w:rFonts w:hint="eastAsia"/>
          <w:szCs w:val="21"/>
        </w:rPr>
      </w:pPr>
    </w:p>
    <w:p w14:paraId="7E425D24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AABDDB7">
      <w:pPr>
        <w:rPr>
          <w:rFonts w:hint="eastAsia"/>
          <w:szCs w:val="21"/>
        </w:rPr>
      </w:pPr>
    </w:p>
    <w:p w14:paraId="5595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5B87C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研究生指导教师考核管理办法》的通知</w:t>
      </w:r>
    </w:p>
    <w:p w14:paraId="54FD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2953C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4ED32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为进一步强化研究生指导教师立德树人职责，加强导师队伍建设、完善导师管理机制，结合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校实际，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制定《河北建筑工程学院研究生指导教师考核管理办法》，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7514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00AF5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1.河北建筑工程学院研究生指导教师考核管理办法.</w:t>
      </w:r>
    </w:p>
    <w:p w14:paraId="1CBC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440" w:lineRule="exact"/>
        <w:ind w:firstLine="1600" w:firstLineChars="500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2.河北建筑工程学院研究生导师考核登记表</w:t>
      </w:r>
    </w:p>
    <w:p w14:paraId="71C211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313" w:afterLines="10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</w:t>
      </w:r>
    </w:p>
    <w:p w14:paraId="6C886306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71E62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p w14:paraId="36736EB3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35265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河北建筑工程学院</w:t>
      </w:r>
    </w:p>
    <w:p w14:paraId="5D000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研究生指导教师考核管理办法</w:t>
      </w:r>
    </w:p>
    <w:p w14:paraId="66DCF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</w:p>
    <w:p w14:paraId="3C17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第一条 </w:t>
      </w:r>
      <w:r>
        <w:rPr>
          <w:rFonts w:eastAsia="仿宋_GB2312"/>
          <w:sz w:val="32"/>
          <w:szCs w:val="32"/>
        </w:rPr>
        <w:t>为进一步强化</w:t>
      </w:r>
      <w:r>
        <w:rPr>
          <w:rFonts w:eastAsia="仿宋_GB2312"/>
          <w:kern w:val="0"/>
          <w:sz w:val="32"/>
          <w:szCs w:val="32"/>
        </w:rPr>
        <w:t>研究生指导教师</w:t>
      </w:r>
      <w:r>
        <w:rPr>
          <w:rFonts w:eastAsia="仿宋_GB2312"/>
          <w:sz w:val="32"/>
          <w:szCs w:val="32"/>
        </w:rPr>
        <w:t>（以下简称“导师”）立德树人职责，加强导师队伍建设、完善导师管理机制，全面落实《教育强国建设规划纲要（2024</w:t>
      </w:r>
      <w:r>
        <w:rPr>
          <w:rFonts w:hint="eastAsia" w:eastAsia="仿宋_GB2312"/>
          <w:sz w:val="32"/>
          <w:szCs w:val="32"/>
          <w:lang w:eastAsia="zh-CN"/>
        </w:rPr>
        <w:t>—</w:t>
      </w:r>
      <w:r>
        <w:rPr>
          <w:rFonts w:eastAsia="仿宋_GB2312"/>
          <w:sz w:val="32"/>
          <w:szCs w:val="32"/>
        </w:rPr>
        <w:t>2035年）》，根据国务院学位委员会《关于进一步严格规范学位与研究生教育质量管理的若干意见》（学位〔2020〕19号）、教育部《研究生导师指导行为准则》（教研〔2020〕12号）和教育部、国家发展改革委、财政部发布《关于加快新时代研究生教育改革发展的意见》（教研〔2020〕9号）等文件精神，</w:t>
      </w:r>
      <w:r>
        <w:rPr>
          <w:rFonts w:eastAsia="仿宋_GB2312"/>
          <w:kern w:val="0"/>
          <w:sz w:val="32"/>
          <w:szCs w:val="32"/>
        </w:rPr>
        <w:t>结合我校实际，</w:t>
      </w:r>
      <w:r>
        <w:rPr>
          <w:rFonts w:eastAsia="仿宋_GB2312"/>
          <w:sz w:val="32"/>
          <w:szCs w:val="32"/>
        </w:rPr>
        <w:t>制定本办法。</w:t>
      </w:r>
    </w:p>
    <w:p w14:paraId="14D98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left"/>
        <w:textAlignment w:val="auto"/>
        <w:rPr>
          <w:rFonts w:eastAsia="黑体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    第二条 </w:t>
      </w:r>
      <w:r>
        <w:rPr>
          <w:rFonts w:hint="eastAsia" w:eastAsia="仿宋_GB2312"/>
          <w:sz w:val="32"/>
          <w:szCs w:val="32"/>
        </w:rPr>
        <w:t>考核对象为</w:t>
      </w:r>
      <w:r>
        <w:rPr>
          <w:rFonts w:eastAsia="仿宋_GB2312"/>
          <w:kern w:val="0"/>
          <w:sz w:val="32"/>
          <w:szCs w:val="32"/>
        </w:rPr>
        <w:t>所有完整指导过一届研究生的导师，包括校内导师、独立指导研究生的校外导师。</w:t>
      </w:r>
    </w:p>
    <w:p w14:paraId="7486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eastAsia="黑体"/>
          <w:kern w:val="0"/>
          <w:sz w:val="32"/>
          <w:szCs w:val="32"/>
        </w:rPr>
      </w:pPr>
      <w:r>
        <w:rPr>
          <w:rFonts w:hint="eastAsia" w:eastAsia="黑体"/>
          <w:kern w:val="0"/>
          <w:sz w:val="32"/>
          <w:szCs w:val="32"/>
        </w:rPr>
        <w:t>第</w:t>
      </w:r>
      <w:r>
        <w:rPr>
          <w:rFonts w:eastAsia="黑体"/>
          <w:kern w:val="0"/>
          <w:sz w:val="32"/>
          <w:szCs w:val="32"/>
        </w:rPr>
        <w:t>二</w:t>
      </w:r>
      <w:r>
        <w:rPr>
          <w:rFonts w:hint="eastAsia" w:eastAsia="黑体"/>
          <w:kern w:val="0"/>
          <w:sz w:val="32"/>
          <w:szCs w:val="32"/>
        </w:rPr>
        <w:t xml:space="preserve">章 </w:t>
      </w:r>
      <w:r>
        <w:rPr>
          <w:rFonts w:eastAsia="黑体"/>
          <w:kern w:val="0"/>
          <w:sz w:val="32"/>
          <w:szCs w:val="32"/>
        </w:rPr>
        <w:t>考核内容</w:t>
      </w:r>
    </w:p>
    <w:p w14:paraId="0AB14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第三条 </w:t>
      </w:r>
      <w:r>
        <w:rPr>
          <w:rFonts w:eastAsia="仿宋_GB2312"/>
          <w:kern w:val="0"/>
          <w:sz w:val="32"/>
          <w:szCs w:val="32"/>
        </w:rPr>
        <w:t>导师是否按照</w:t>
      </w:r>
      <w:bookmarkStart w:id="0" w:name="OLE_LINK3"/>
      <w:r>
        <w:rPr>
          <w:rFonts w:eastAsia="仿宋_GB2312"/>
          <w:kern w:val="0"/>
          <w:sz w:val="32"/>
          <w:szCs w:val="32"/>
        </w:rPr>
        <w:t>研究生培养第一责任人</w:t>
      </w:r>
      <w:bookmarkEnd w:id="0"/>
      <w:r>
        <w:rPr>
          <w:rFonts w:eastAsia="仿宋_GB2312"/>
          <w:kern w:val="0"/>
          <w:sz w:val="32"/>
          <w:szCs w:val="32"/>
        </w:rPr>
        <w:t>的要求，坚持社会主义办学方向，坚持教书和育人相统一，坚持言传和身教相统一，坚持潜心问道和关注社会相统一，坚持学术自由和学术规范相统一，坚持以德立身、以德立学和以德施教。</w:t>
      </w:r>
    </w:p>
    <w:p w14:paraId="55698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第四条 </w:t>
      </w:r>
      <w:r>
        <w:rPr>
          <w:rFonts w:eastAsia="仿宋_GB2312"/>
          <w:kern w:val="0"/>
          <w:sz w:val="32"/>
          <w:szCs w:val="32"/>
        </w:rPr>
        <w:t>导师是否遵循研究生教育规律，创新研究生指导方式，潜心研究生培养，做研究生成长成才的指导者和引路人。</w:t>
      </w:r>
    </w:p>
    <w:p w14:paraId="76331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第五条 </w:t>
      </w:r>
      <w:r>
        <w:rPr>
          <w:rFonts w:eastAsia="仿宋_GB2312"/>
          <w:kern w:val="0"/>
          <w:sz w:val="32"/>
          <w:szCs w:val="32"/>
        </w:rPr>
        <w:t>导师是否重视研究生思想政治素质建设，教导研究生恪守学术道德规范，加强研究生的创新能力培养，增强研究生的社会责任感。</w:t>
      </w:r>
    </w:p>
    <w:p w14:paraId="2BEA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第六条 </w:t>
      </w:r>
      <w:r>
        <w:rPr>
          <w:rFonts w:eastAsia="仿宋_GB2312"/>
          <w:kern w:val="0"/>
          <w:sz w:val="32"/>
          <w:szCs w:val="32"/>
        </w:rPr>
        <w:t>导师是否积极开展科学研究，努力改善研究生培养条件、在遵守科学道德和学术规范方面发挥示范引领作用。</w:t>
      </w:r>
    </w:p>
    <w:p w14:paraId="1EE7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第</w:t>
      </w:r>
      <w:r>
        <w:rPr>
          <w:rFonts w:eastAsia="黑体"/>
          <w:sz w:val="32"/>
          <w:szCs w:val="32"/>
        </w:rPr>
        <w:t>三</w:t>
      </w:r>
      <w:r>
        <w:rPr>
          <w:rFonts w:hint="eastAsia" w:eastAsia="黑体"/>
          <w:sz w:val="32"/>
          <w:szCs w:val="32"/>
        </w:rPr>
        <w:t xml:space="preserve">章 </w:t>
      </w:r>
      <w:r>
        <w:rPr>
          <w:rFonts w:eastAsia="黑体"/>
          <w:sz w:val="32"/>
          <w:szCs w:val="32"/>
        </w:rPr>
        <w:t>考核标准</w:t>
      </w:r>
    </w:p>
    <w:p w14:paraId="33258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第七条 </w:t>
      </w:r>
      <w:r>
        <w:rPr>
          <w:rFonts w:eastAsia="仿宋_GB2312"/>
          <w:kern w:val="0"/>
          <w:sz w:val="32"/>
          <w:szCs w:val="32"/>
        </w:rPr>
        <w:t>在岗导师（含校外导师）的考核等级分为A、B、C、D四个等次。</w:t>
      </w:r>
    </w:p>
    <w:p w14:paraId="64E32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（一）考核基本条件</w:t>
      </w:r>
    </w:p>
    <w:p w14:paraId="4FE8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1、以习近平新时代中国特色社会主义思想为指导，具有良好的思想政治素质和师德师风修养。落实立德树人根本任务，</w:t>
      </w:r>
      <w:r>
        <w:rPr>
          <w:rFonts w:eastAsia="仿宋_GB2312"/>
          <w:sz w:val="32"/>
          <w:szCs w:val="32"/>
        </w:rPr>
        <w:t>认真履行导师职责，</w:t>
      </w:r>
      <w:r>
        <w:rPr>
          <w:rFonts w:eastAsia="仿宋_GB2312"/>
          <w:bCs/>
          <w:sz w:val="32"/>
          <w:szCs w:val="32"/>
        </w:rPr>
        <w:t>将思想政治教育有效融入研究生培养过程中。</w:t>
      </w:r>
    </w:p>
    <w:p w14:paraId="152D2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2、掌握本学科前沿动态，能够承担高水平科研项目，</w:t>
      </w:r>
      <w:r>
        <w:rPr>
          <w:rFonts w:eastAsia="仿宋_GB2312"/>
          <w:sz w:val="32"/>
          <w:szCs w:val="32"/>
        </w:rPr>
        <w:t>学术成果突出，</w:t>
      </w:r>
      <w:r>
        <w:rPr>
          <w:rFonts w:eastAsia="仿宋_GB2312"/>
          <w:bCs/>
          <w:sz w:val="32"/>
          <w:szCs w:val="32"/>
        </w:rPr>
        <w:t>科研经费充足，积极为培养高层次的人才创造良好条件。</w:t>
      </w:r>
    </w:p>
    <w:p w14:paraId="2C786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3、切实担负起研究生培养第一责任人责任，</w:t>
      </w:r>
      <w:r>
        <w:rPr>
          <w:rFonts w:eastAsia="仿宋_GB2312"/>
          <w:sz w:val="32"/>
          <w:szCs w:val="32"/>
        </w:rPr>
        <w:t>精心指导研究生学术成长，关心研究生的思想和生活，</w:t>
      </w:r>
      <w:r>
        <w:rPr>
          <w:rFonts w:eastAsia="仿宋_GB2312"/>
          <w:kern w:val="0"/>
          <w:sz w:val="32"/>
          <w:szCs w:val="32"/>
        </w:rPr>
        <w:t>师生关系和谐融洽。</w:t>
      </w:r>
    </w:p>
    <w:p w14:paraId="6830F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4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积极参加学校和院系组织的导师培训，</w:t>
      </w:r>
      <w:r>
        <w:rPr>
          <w:rFonts w:eastAsia="仿宋_GB2312"/>
          <w:sz w:val="32"/>
          <w:szCs w:val="32"/>
        </w:rPr>
        <w:t>积极参与本学位授权点建设工作和教研教改</w:t>
      </w:r>
      <w:r>
        <w:rPr>
          <w:rFonts w:eastAsia="仿宋_GB2312"/>
          <w:kern w:val="0"/>
          <w:sz w:val="32"/>
          <w:szCs w:val="32"/>
        </w:rPr>
        <w:t>。</w:t>
      </w:r>
    </w:p>
    <w:p w14:paraId="7794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（二）考核</w:t>
      </w:r>
      <w:r>
        <w:rPr>
          <w:rFonts w:hint="eastAsia" w:eastAsia="仿宋_GB2312"/>
          <w:kern w:val="0"/>
          <w:sz w:val="32"/>
          <w:szCs w:val="32"/>
        </w:rPr>
        <w:t>为</w:t>
      </w:r>
      <w:r>
        <w:rPr>
          <w:rFonts w:eastAsia="仿宋_GB2312"/>
          <w:kern w:val="0"/>
          <w:sz w:val="32"/>
          <w:szCs w:val="32"/>
        </w:rPr>
        <w:t>A等的标准</w:t>
      </w:r>
    </w:p>
    <w:p w14:paraId="3EC68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在考核年度内</w:t>
      </w:r>
      <w:r>
        <w:rPr>
          <w:rFonts w:eastAsia="仿宋_GB2312"/>
          <w:kern w:val="0"/>
          <w:sz w:val="32"/>
          <w:szCs w:val="32"/>
        </w:rPr>
        <w:t>，达到考核基本条件</w:t>
      </w:r>
      <w:r>
        <w:rPr>
          <w:rFonts w:eastAsia="仿宋_GB2312"/>
          <w:sz w:val="32"/>
          <w:szCs w:val="32"/>
        </w:rPr>
        <w:t>，</w:t>
      </w:r>
      <w:r>
        <w:rPr>
          <w:rFonts w:eastAsia="仿宋_GB2312"/>
          <w:kern w:val="0"/>
          <w:sz w:val="32"/>
          <w:szCs w:val="32"/>
        </w:rPr>
        <w:t>指导3名及以上研究生，</w:t>
      </w:r>
      <w:r>
        <w:rPr>
          <w:rFonts w:eastAsia="仿宋_GB2312"/>
          <w:sz w:val="32"/>
          <w:szCs w:val="32"/>
        </w:rPr>
        <w:t>前三年累计到账科研经费不低于30万（校内经费不计），并同时</w:t>
      </w:r>
      <w:r>
        <w:rPr>
          <w:rFonts w:eastAsia="仿宋_GB2312"/>
          <w:kern w:val="0"/>
          <w:sz w:val="32"/>
          <w:szCs w:val="32"/>
        </w:rPr>
        <w:t>满足如下条件之一的：</w:t>
      </w:r>
    </w:p>
    <w:p w14:paraId="4E965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所指导研究生学位论文被评为省级或校级优秀学位论文。</w:t>
      </w:r>
    </w:p>
    <w:p w14:paraId="203C2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所指导研究生被评为省级三好学生或优秀毕业生。</w:t>
      </w:r>
    </w:p>
    <w:p w14:paraId="258E8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3</w:t>
      </w:r>
      <w:r>
        <w:rPr>
          <w:rFonts w:eastAsia="仿宋_GB2312"/>
          <w:bCs/>
          <w:sz w:val="32"/>
          <w:szCs w:val="32"/>
        </w:rPr>
        <w:t>、</w:t>
      </w:r>
      <w:r>
        <w:rPr>
          <w:rFonts w:hint="eastAsia" w:eastAsia="仿宋_GB2312"/>
          <w:sz w:val="32"/>
          <w:szCs w:val="32"/>
        </w:rPr>
        <w:t>无本办法C、D等次所限定的情形。</w:t>
      </w:r>
    </w:p>
    <w:p w14:paraId="23C88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（三）考核</w:t>
      </w:r>
      <w:r>
        <w:rPr>
          <w:rFonts w:hint="eastAsia" w:eastAsia="仿宋_GB2312"/>
          <w:kern w:val="0"/>
          <w:sz w:val="32"/>
          <w:szCs w:val="32"/>
        </w:rPr>
        <w:t>为</w:t>
      </w:r>
      <w:r>
        <w:rPr>
          <w:rFonts w:eastAsia="仿宋_GB2312"/>
          <w:kern w:val="0"/>
          <w:sz w:val="32"/>
          <w:szCs w:val="32"/>
        </w:rPr>
        <w:t>B等的标准</w:t>
      </w:r>
    </w:p>
    <w:p w14:paraId="6C965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sz w:val="32"/>
          <w:szCs w:val="32"/>
        </w:rPr>
        <w:t>在考核年度内</w:t>
      </w:r>
      <w:r>
        <w:rPr>
          <w:rFonts w:eastAsia="仿宋_GB2312"/>
          <w:kern w:val="0"/>
          <w:sz w:val="32"/>
          <w:szCs w:val="32"/>
        </w:rPr>
        <w:t>，达到考核基本条件</w:t>
      </w:r>
      <w:r>
        <w:rPr>
          <w:rFonts w:eastAsia="仿宋_GB2312"/>
          <w:sz w:val="32"/>
          <w:szCs w:val="32"/>
        </w:rPr>
        <w:t>，</w:t>
      </w:r>
      <w:r>
        <w:rPr>
          <w:rFonts w:eastAsia="仿宋_GB2312"/>
          <w:kern w:val="0"/>
          <w:sz w:val="32"/>
          <w:szCs w:val="32"/>
        </w:rPr>
        <w:t>指导1名及以上研究生，</w:t>
      </w:r>
      <w:r>
        <w:rPr>
          <w:rFonts w:eastAsia="仿宋_GB2312"/>
          <w:sz w:val="32"/>
          <w:szCs w:val="32"/>
        </w:rPr>
        <w:t>前三年累计到账科研经费不低于6万（校内经费不计）。</w:t>
      </w:r>
    </w:p>
    <w:p w14:paraId="21029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（四）考核C等的情况</w:t>
      </w:r>
    </w:p>
    <w:p w14:paraId="2B2B8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在考核年度内，不满足考核基本条件或</w:t>
      </w:r>
      <w:r>
        <w:rPr>
          <w:rFonts w:eastAsia="仿宋_GB2312"/>
          <w:kern w:val="0"/>
          <w:sz w:val="32"/>
          <w:szCs w:val="32"/>
        </w:rPr>
        <w:t>出现以下问题之一的：</w:t>
      </w:r>
    </w:p>
    <w:p w14:paraId="4CDA0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所指导研究生在学位论文盲审中出现1篇次未通过的。</w:t>
      </w:r>
    </w:p>
    <w:p w14:paraId="078F8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无正当理由，拒绝承担学校或</w:t>
      </w:r>
      <w:r>
        <w:rPr>
          <w:rFonts w:eastAsia="仿宋_GB2312"/>
          <w:bCs/>
          <w:sz w:val="32"/>
          <w:szCs w:val="32"/>
        </w:rPr>
        <w:t>所在院系</w:t>
      </w:r>
      <w:r>
        <w:rPr>
          <w:rFonts w:eastAsia="仿宋_GB2312"/>
          <w:kern w:val="0"/>
          <w:sz w:val="32"/>
          <w:szCs w:val="32"/>
        </w:rPr>
        <w:t>安排的各类研究生教学任务的。</w:t>
      </w:r>
    </w:p>
    <w:p w14:paraId="4A045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3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所指导研究生在实验室、工作室等场所发生安全事故，造成人身伤害或经济损失的。</w:t>
      </w:r>
    </w:p>
    <w:p w14:paraId="00FC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4</w:t>
      </w:r>
      <w:r>
        <w:rPr>
          <w:rFonts w:eastAsia="仿宋_GB2312"/>
          <w:bCs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前三年累计到账科研经费低于6万元</w:t>
      </w:r>
      <w:r>
        <w:rPr>
          <w:rFonts w:eastAsia="仿宋_GB2312"/>
          <w:sz w:val="32"/>
          <w:szCs w:val="32"/>
        </w:rPr>
        <w:t>（校内经费不计）的</w:t>
      </w:r>
      <w:r>
        <w:rPr>
          <w:rFonts w:eastAsia="仿宋_GB2312"/>
          <w:kern w:val="0"/>
          <w:sz w:val="32"/>
          <w:szCs w:val="32"/>
        </w:rPr>
        <w:t>。</w:t>
      </w:r>
    </w:p>
    <w:p w14:paraId="5707F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27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（五）考核</w:t>
      </w:r>
      <w:r>
        <w:rPr>
          <w:rFonts w:hint="eastAsia" w:eastAsia="仿宋_GB2312"/>
          <w:kern w:val="0"/>
          <w:sz w:val="32"/>
          <w:szCs w:val="32"/>
        </w:rPr>
        <w:t>为</w:t>
      </w:r>
      <w:r>
        <w:rPr>
          <w:rFonts w:eastAsia="仿宋_GB2312"/>
          <w:kern w:val="0"/>
          <w:sz w:val="32"/>
          <w:szCs w:val="32"/>
        </w:rPr>
        <w:t>D等的情况</w:t>
      </w:r>
    </w:p>
    <w:p w14:paraId="73E59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在考核年度内，</w:t>
      </w:r>
      <w:r>
        <w:rPr>
          <w:rFonts w:eastAsia="仿宋_GB2312"/>
          <w:kern w:val="0"/>
          <w:sz w:val="32"/>
          <w:szCs w:val="32"/>
        </w:rPr>
        <w:t>出现以下问题之一的：</w:t>
      </w:r>
    </w:p>
    <w:p w14:paraId="259F2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1、</w:t>
      </w:r>
      <w:r>
        <w:rPr>
          <w:rFonts w:eastAsia="仿宋_GB2312"/>
          <w:kern w:val="0"/>
          <w:sz w:val="32"/>
          <w:szCs w:val="32"/>
        </w:rPr>
        <w:t>所指导研究生在学位论文盲审中出现2篇次及以上未通过的。</w:t>
      </w:r>
    </w:p>
    <w:p w14:paraId="4621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kern w:val="0"/>
          <w:sz w:val="32"/>
          <w:szCs w:val="32"/>
        </w:rPr>
        <w:t>2、</w:t>
      </w:r>
      <w:r>
        <w:rPr>
          <w:rFonts w:eastAsia="仿宋_GB2312"/>
          <w:kern w:val="0"/>
          <w:sz w:val="32"/>
          <w:szCs w:val="32"/>
        </w:rPr>
        <w:t>所指导研究生的学位论文在省抽检中被</w:t>
      </w:r>
      <w:r>
        <w:rPr>
          <w:rFonts w:hint="eastAsia" w:eastAsia="仿宋_GB2312"/>
          <w:kern w:val="0"/>
          <w:sz w:val="32"/>
          <w:szCs w:val="32"/>
        </w:rPr>
        <w:t>认定</w:t>
      </w:r>
      <w:r>
        <w:rPr>
          <w:rFonts w:eastAsia="仿宋_GB2312"/>
          <w:kern w:val="0"/>
          <w:sz w:val="32"/>
          <w:szCs w:val="32"/>
        </w:rPr>
        <w:t>为“问题论文”的。</w:t>
      </w:r>
    </w:p>
    <w:p w14:paraId="0E69F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3</w:t>
      </w:r>
      <w:r>
        <w:rPr>
          <w:rFonts w:hint="eastAsia" w:eastAsia="仿宋_GB2312"/>
          <w:kern w:val="0"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所指导研究生因在科学研究、论文发表和学位申请等环节中存在买卖论文（数据）、弄虚作假、抄袭剽窃等学术不端行为，造成严重不良影响的。</w:t>
      </w:r>
    </w:p>
    <w:p w14:paraId="670F0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eastAsia="仿宋_GB2312"/>
          <w:kern w:val="0"/>
          <w:sz w:val="32"/>
          <w:szCs w:val="32"/>
        </w:rPr>
        <w:t>4</w:t>
      </w:r>
      <w:r>
        <w:rPr>
          <w:rFonts w:hint="eastAsia" w:eastAsia="仿宋_GB2312"/>
          <w:kern w:val="0"/>
          <w:sz w:val="32"/>
          <w:szCs w:val="32"/>
        </w:rPr>
        <w:t>、</w:t>
      </w:r>
      <w:r>
        <w:rPr>
          <w:rFonts w:eastAsia="仿宋_GB2312"/>
          <w:kern w:val="0"/>
          <w:sz w:val="32"/>
          <w:szCs w:val="32"/>
        </w:rPr>
        <w:t>存在违法违纪</w:t>
      </w:r>
      <w:r>
        <w:rPr>
          <w:rFonts w:hint="eastAsia" w:eastAsia="仿宋_GB2312"/>
          <w:kern w:val="0"/>
          <w:sz w:val="32"/>
          <w:szCs w:val="32"/>
        </w:rPr>
        <w:t>或</w:t>
      </w:r>
      <w:r>
        <w:rPr>
          <w:rFonts w:eastAsia="仿宋_GB2312"/>
          <w:kern w:val="0"/>
          <w:sz w:val="32"/>
          <w:szCs w:val="32"/>
        </w:rPr>
        <w:t>违反教育部《研究生导师指导行为准则》精神的行为的。</w:t>
      </w:r>
    </w:p>
    <w:p w14:paraId="205DB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eastAsia="黑体"/>
          <w:kern w:val="0"/>
          <w:sz w:val="32"/>
          <w:szCs w:val="32"/>
        </w:rPr>
      </w:pPr>
      <w:r>
        <w:rPr>
          <w:rFonts w:hint="eastAsia" w:eastAsia="黑体"/>
          <w:kern w:val="0"/>
          <w:sz w:val="32"/>
          <w:szCs w:val="32"/>
        </w:rPr>
        <w:t>第</w:t>
      </w:r>
      <w:r>
        <w:rPr>
          <w:rFonts w:eastAsia="黑体"/>
          <w:kern w:val="0"/>
          <w:sz w:val="32"/>
          <w:szCs w:val="32"/>
        </w:rPr>
        <w:t>四</w:t>
      </w:r>
      <w:r>
        <w:rPr>
          <w:rFonts w:hint="eastAsia" w:eastAsia="黑体"/>
          <w:kern w:val="0"/>
          <w:sz w:val="32"/>
          <w:szCs w:val="32"/>
        </w:rPr>
        <w:t xml:space="preserve">章 </w:t>
      </w:r>
      <w:r>
        <w:rPr>
          <w:rFonts w:eastAsia="黑体"/>
          <w:kern w:val="0"/>
          <w:sz w:val="32"/>
          <w:szCs w:val="32"/>
        </w:rPr>
        <w:t>考核的实施</w:t>
      </w:r>
    </w:p>
    <w:p w14:paraId="04F20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30" w:firstLineChars="196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第八条 </w:t>
      </w:r>
      <w:r>
        <w:rPr>
          <w:rFonts w:eastAsia="仿宋_GB2312"/>
          <w:kern w:val="0"/>
          <w:sz w:val="32"/>
          <w:szCs w:val="32"/>
        </w:rPr>
        <w:t>考核工作由导师</w:t>
      </w:r>
      <w:r>
        <w:rPr>
          <w:rFonts w:eastAsia="仿宋_GB2312"/>
          <w:sz w:val="32"/>
          <w:szCs w:val="32"/>
        </w:rPr>
        <w:t>所在院系组织实施。</w:t>
      </w:r>
      <w:r>
        <w:rPr>
          <w:rFonts w:eastAsia="仿宋_GB2312"/>
          <w:kern w:val="0"/>
          <w:sz w:val="32"/>
          <w:szCs w:val="32"/>
        </w:rPr>
        <w:t>院系可根据自身实际制定不低于学校标准的考核细则，考核细则报研究生部备案。一般应在每年6月底之前完成导师考核。</w:t>
      </w:r>
    </w:p>
    <w:p w14:paraId="76A52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第九条 </w:t>
      </w:r>
      <w:r>
        <w:rPr>
          <w:rFonts w:eastAsia="仿宋_GB2312"/>
          <w:bCs/>
          <w:sz w:val="32"/>
          <w:szCs w:val="32"/>
        </w:rPr>
        <w:t>由研究生导师本人填写《河北建筑工程学院20**-20**学年研究生导师考核登记表》（附件1），并提供佐证材料。各学位授权点所在院系学位评定分委员会负责考核工作，对导师提供的材料进行审核并给出考核结果。考核结果在本单位公示3个工作日，无异议后将考核结果及材料报研究生部备案。</w:t>
      </w:r>
    </w:p>
    <w:p w14:paraId="7920BB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第十条 </w:t>
      </w:r>
      <w:r>
        <w:rPr>
          <w:rFonts w:ascii="Times New Roman" w:hAnsi="Times New Roman" w:eastAsia="仿宋_GB2312" w:cs="Times New Roman"/>
          <w:sz w:val="32"/>
          <w:szCs w:val="32"/>
        </w:rPr>
        <w:t>对导师考核结果有异议的人员，可在公示阶段向所在院系学位评定分委员会提出书面申诉，院系学位评定分委员会应及时研究并予以答复。如申诉人对上述答复仍存在异议，可在收到答复后3个工作日内向学</w:t>
      </w:r>
      <w:r>
        <w:rPr>
          <w:rFonts w:ascii="Times New Roman" w:hAnsi="Times New Roman" w:eastAsia="仿宋_GB2312" w:cs="Times New Roman"/>
          <w:bCs/>
          <w:sz w:val="32"/>
          <w:szCs w:val="32"/>
        </w:rPr>
        <w:t>校学位评定委员会</w:t>
      </w:r>
      <w:r>
        <w:rPr>
          <w:rFonts w:ascii="Times New Roman" w:hAnsi="Times New Roman" w:eastAsia="仿宋_GB2312" w:cs="Times New Roman"/>
          <w:sz w:val="32"/>
          <w:szCs w:val="32"/>
        </w:rPr>
        <w:t>提请书面复议。学校学位评定委员会一般应在5个工作日内向申诉人做出书面复议结论。</w:t>
      </w:r>
    </w:p>
    <w:p w14:paraId="5CDBC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eastAsia="黑体"/>
          <w:kern w:val="0"/>
          <w:sz w:val="32"/>
          <w:szCs w:val="32"/>
        </w:rPr>
      </w:pPr>
      <w:r>
        <w:rPr>
          <w:rFonts w:hint="eastAsia" w:eastAsia="黑体"/>
          <w:kern w:val="0"/>
          <w:sz w:val="32"/>
          <w:szCs w:val="32"/>
        </w:rPr>
        <w:t>第</w:t>
      </w:r>
      <w:r>
        <w:rPr>
          <w:rFonts w:eastAsia="黑体"/>
          <w:kern w:val="0"/>
          <w:sz w:val="32"/>
          <w:szCs w:val="32"/>
        </w:rPr>
        <w:t>五</w:t>
      </w:r>
      <w:r>
        <w:rPr>
          <w:rFonts w:hint="eastAsia" w:eastAsia="黑体"/>
          <w:kern w:val="0"/>
          <w:sz w:val="32"/>
          <w:szCs w:val="32"/>
        </w:rPr>
        <w:t xml:space="preserve">章 </w:t>
      </w:r>
      <w:r>
        <w:rPr>
          <w:rFonts w:eastAsia="黑体"/>
          <w:kern w:val="0"/>
          <w:sz w:val="32"/>
          <w:szCs w:val="32"/>
        </w:rPr>
        <w:t>考核结果的应用</w:t>
      </w:r>
    </w:p>
    <w:p w14:paraId="71B89079">
      <w:pPr>
        <w:keepNext w:val="0"/>
        <w:keepLines w:val="0"/>
        <w:pageBreakBefore w:val="0"/>
        <w:widowControl w:val="0"/>
        <w:tabs>
          <w:tab w:val="left" w:pos="851"/>
          <w:tab w:val="left" w:pos="1276"/>
        </w:tabs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第十一条 </w:t>
      </w:r>
      <w:r>
        <w:rPr>
          <w:rFonts w:eastAsia="仿宋_GB2312"/>
          <w:bCs/>
          <w:sz w:val="32"/>
          <w:szCs w:val="32"/>
        </w:rPr>
        <w:t>学校向A等的导师颁发优秀导师荣誉证书，在各类评优评先、职称评聘等工作中给予</w:t>
      </w:r>
      <w:r>
        <w:rPr>
          <w:rFonts w:hint="eastAsia" w:eastAsia="仿宋_GB2312"/>
          <w:bCs/>
          <w:sz w:val="32"/>
          <w:szCs w:val="32"/>
        </w:rPr>
        <w:t>具体</w:t>
      </w:r>
      <w:r>
        <w:rPr>
          <w:rFonts w:eastAsia="仿宋_GB2312"/>
          <w:bCs/>
          <w:sz w:val="32"/>
          <w:szCs w:val="32"/>
        </w:rPr>
        <w:t>体现，</w:t>
      </w:r>
      <w:r>
        <w:rPr>
          <w:rFonts w:hint="eastAsia" w:eastAsia="仿宋_GB2312"/>
          <w:bCs/>
          <w:sz w:val="32"/>
          <w:szCs w:val="32"/>
        </w:rPr>
        <w:t>由院系续聘并</w:t>
      </w:r>
      <w:r>
        <w:rPr>
          <w:rFonts w:eastAsia="仿宋_GB2312"/>
          <w:bCs/>
          <w:sz w:val="32"/>
          <w:szCs w:val="32"/>
        </w:rPr>
        <w:t>酌情增加招生指标。</w:t>
      </w:r>
    </w:p>
    <w:p w14:paraId="484EB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b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第十二条 </w:t>
      </w:r>
      <w:r>
        <w:rPr>
          <w:rFonts w:eastAsia="仿宋_GB2312"/>
          <w:kern w:val="0"/>
          <w:sz w:val="32"/>
          <w:szCs w:val="32"/>
        </w:rPr>
        <w:t>对于B等的导师，由院系决定是否续聘。</w:t>
      </w:r>
    </w:p>
    <w:p w14:paraId="3DE56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kern w:val="0"/>
          <w:sz w:val="32"/>
          <w:szCs w:val="32"/>
        </w:rPr>
      </w:pPr>
      <w:bookmarkStart w:id="1" w:name="OLE_LINK1"/>
      <w:r>
        <w:rPr>
          <w:rFonts w:hint="eastAsia" w:eastAsia="仿宋_GB2312"/>
          <w:b/>
          <w:bCs/>
          <w:sz w:val="32"/>
          <w:szCs w:val="32"/>
        </w:rPr>
        <w:t xml:space="preserve">第十三条 </w:t>
      </w:r>
      <w:r>
        <w:rPr>
          <w:rFonts w:eastAsia="仿宋_GB2312"/>
          <w:kern w:val="0"/>
          <w:sz w:val="32"/>
          <w:szCs w:val="32"/>
        </w:rPr>
        <w:t>对于C等的导师，当年停止招生；连续两年考核为C等的，取消其导师资格，由所在院系酌情分流由其指导的在读研究生。之后达到导师评选条件的，可再次申请导师资格。</w:t>
      </w:r>
      <w:bookmarkEnd w:id="1"/>
    </w:p>
    <w:p w14:paraId="1A554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第十四条 </w:t>
      </w:r>
      <w:r>
        <w:rPr>
          <w:rFonts w:eastAsia="仿宋_GB2312"/>
          <w:kern w:val="0"/>
          <w:sz w:val="32"/>
          <w:szCs w:val="32"/>
        </w:rPr>
        <w:t>对于D等的导师，取消导师资格，由所在院系分流由其指导的在读研究生，</w:t>
      </w:r>
      <w:r>
        <w:rPr>
          <w:rFonts w:hint="eastAsia" w:eastAsia="仿宋_GB2312"/>
          <w:kern w:val="0"/>
          <w:sz w:val="32"/>
          <w:szCs w:val="32"/>
        </w:rPr>
        <w:t>五年内不得</w:t>
      </w:r>
      <w:r>
        <w:rPr>
          <w:rFonts w:eastAsia="仿宋_GB2312"/>
          <w:kern w:val="0"/>
          <w:sz w:val="32"/>
          <w:szCs w:val="32"/>
        </w:rPr>
        <w:t>申请导师资格</w:t>
      </w:r>
      <w:r>
        <w:rPr>
          <w:rFonts w:hint="eastAsia" w:eastAsia="仿宋_GB2312"/>
          <w:kern w:val="0"/>
          <w:sz w:val="32"/>
          <w:szCs w:val="32"/>
        </w:rPr>
        <w:t>；</w:t>
      </w:r>
      <w:r>
        <w:rPr>
          <w:rFonts w:eastAsia="仿宋_GB2312"/>
          <w:kern w:val="0"/>
          <w:sz w:val="32"/>
          <w:szCs w:val="32"/>
        </w:rPr>
        <w:t>对于D等</w:t>
      </w:r>
      <w:r>
        <w:rPr>
          <w:rFonts w:hint="eastAsia" w:eastAsia="仿宋_GB2312"/>
          <w:kern w:val="0"/>
          <w:sz w:val="32"/>
          <w:szCs w:val="32"/>
        </w:rPr>
        <w:t>中第四类情形</w:t>
      </w:r>
      <w:r>
        <w:rPr>
          <w:rFonts w:eastAsia="仿宋_GB2312"/>
          <w:kern w:val="0"/>
          <w:sz w:val="32"/>
          <w:szCs w:val="32"/>
        </w:rPr>
        <w:t>的，不得再次申请导师资格。</w:t>
      </w:r>
    </w:p>
    <w:p w14:paraId="0EBC3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textAlignment w:val="auto"/>
        <w:rPr>
          <w:rFonts w:eastAsia="黑体"/>
          <w:kern w:val="0"/>
          <w:sz w:val="32"/>
          <w:szCs w:val="32"/>
        </w:rPr>
      </w:pPr>
      <w:r>
        <w:rPr>
          <w:rFonts w:hint="eastAsia" w:eastAsia="黑体"/>
          <w:kern w:val="0"/>
          <w:sz w:val="32"/>
          <w:szCs w:val="32"/>
        </w:rPr>
        <w:t>第</w:t>
      </w:r>
      <w:r>
        <w:rPr>
          <w:rFonts w:eastAsia="黑体"/>
          <w:kern w:val="0"/>
          <w:sz w:val="32"/>
          <w:szCs w:val="32"/>
        </w:rPr>
        <w:t>六</w:t>
      </w:r>
      <w:r>
        <w:rPr>
          <w:rFonts w:hint="eastAsia" w:eastAsia="黑体"/>
          <w:kern w:val="0"/>
          <w:sz w:val="32"/>
          <w:szCs w:val="32"/>
        </w:rPr>
        <w:t xml:space="preserve">章 </w:t>
      </w:r>
      <w:r>
        <w:rPr>
          <w:rFonts w:eastAsia="黑体"/>
          <w:kern w:val="0"/>
          <w:sz w:val="32"/>
          <w:szCs w:val="32"/>
        </w:rPr>
        <w:t>附则</w:t>
      </w:r>
    </w:p>
    <w:p w14:paraId="68034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3" w:firstLineChars="20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第十五条 </w:t>
      </w:r>
      <w:r>
        <w:rPr>
          <w:rFonts w:eastAsia="仿宋_GB2312"/>
          <w:kern w:val="0"/>
          <w:sz w:val="32"/>
          <w:szCs w:val="32"/>
        </w:rPr>
        <w:t>本办法自2025年7月1日起执行，原《河北建筑工程学院研究生指导教师管理与考核办法》（校政〔2014〕102号）到时废止。</w:t>
      </w:r>
    </w:p>
    <w:p w14:paraId="3CDE3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707" w:firstLineChars="220"/>
        <w:textAlignment w:val="auto"/>
        <w:rPr>
          <w:rFonts w:eastAsia="仿宋_GB2312"/>
          <w:kern w:val="0"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 xml:space="preserve">第十六条 </w:t>
      </w:r>
      <w:r>
        <w:rPr>
          <w:rFonts w:eastAsia="仿宋_GB2312"/>
          <w:kern w:val="0"/>
          <w:sz w:val="32"/>
          <w:szCs w:val="32"/>
        </w:rPr>
        <w:t>本办法由研究生部负责解释。</w:t>
      </w:r>
    </w:p>
    <w:p w14:paraId="4CAE07DC">
      <w:pPr>
        <w:widowControl/>
        <w:jc w:val="left"/>
        <w:rPr>
          <w:rFonts w:hint="eastAsia" w:eastAsia="仿宋_GB2312"/>
          <w:kern w:val="0"/>
          <w:sz w:val="32"/>
          <w:szCs w:val="32"/>
          <w:lang w:val="en-US" w:eastAsia="zh-CN"/>
        </w:rPr>
      </w:pPr>
      <w:r>
        <w:rPr>
          <w:rFonts w:eastAsia="仿宋_GB2312"/>
          <w:kern w:val="0"/>
          <w:sz w:val="32"/>
          <w:szCs w:val="32"/>
        </w:rPr>
        <w:br w:type="page"/>
      </w:r>
      <w:r>
        <w:rPr>
          <w:rFonts w:hint="eastAsia" w:ascii="黑体" w:hAnsi="黑体" w:eastAsia="黑体" w:cs="黑体"/>
          <w:kern w:val="0"/>
          <w:sz w:val="32"/>
          <w:szCs w:val="32"/>
        </w:rPr>
        <w:t>附件</w:t>
      </w:r>
      <w:r>
        <w:rPr>
          <w:rFonts w:hint="eastAsia" w:ascii="黑体" w:hAnsi="黑体" w:eastAsia="黑体" w:cs="黑体"/>
          <w:kern w:val="0"/>
          <w:sz w:val="32"/>
          <w:szCs w:val="32"/>
          <w:lang w:val="en-US" w:eastAsia="zh-CN"/>
        </w:rPr>
        <w:t>2</w:t>
      </w:r>
    </w:p>
    <w:p w14:paraId="6121A761">
      <w:pPr>
        <w:spacing w:line="500" w:lineRule="exact"/>
        <w:jc w:val="center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河北建筑工程学院20**-20**学年研究生导师考核登记表</w:t>
      </w:r>
    </w:p>
    <w:tbl>
      <w:tblPr>
        <w:tblStyle w:val="5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991"/>
        <w:gridCol w:w="709"/>
        <w:gridCol w:w="1305"/>
        <w:gridCol w:w="821"/>
        <w:gridCol w:w="1560"/>
        <w:gridCol w:w="991"/>
        <w:gridCol w:w="1241"/>
      </w:tblGrid>
      <w:tr w14:paraId="2CE6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68" w:type="dxa"/>
            <w:noWrap w:val="0"/>
            <w:vAlign w:val="center"/>
          </w:tcPr>
          <w:p w14:paraId="1CEE7073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姓名</w:t>
            </w:r>
          </w:p>
        </w:tc>
        <w:tc>
          <w:tcPr>
            <w:tcW w:w="991" w:type="dxa"/>
            <w:noWrap w:val="0"/>
            <w:vAlign w:val="center"/>
          </w:tcPr>
          <w:p w14:paraId="6E59A151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</w:p>
        </w:tc>
        <w:tc>
          <w:tcPr>
            <w:tcW w:w="709" w:type="dxa"/>
            <w:noWrap w:val="0"/>
            <w:vAlign w:val="center"/>
          </w:tcPr>
          <w:p w14:paraId="6642F580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性别</w:t>
            </w:r>
          </w:p>
        </w:tc>
        <w:tc>
          <w:tcPr>
            <w:tcW w:w="1305" w:type="dxa"/>
            <w:noWrap w:val="0"/>
            <w:vAlign w:val="center"/>
          </w:tcPr>
          <w:p w14:paraId="7E5C59C2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</w:p>
        </w:tc>
        <w:tc>
          <w:tcPr>
            <w:tcW w:w="821" w:type="dxa"/>
            <w:noWrap w:val="0"/>
            <w:vAlign w:val="center"/>
          </w:tcPr>
          <w:p w14:paraId="2EA60C8A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出生年月</w:t>
            </w:r>
          </w:p>
        </w:tc>
        <w:tc>
          <w:tcPr>
            <w:tcW w:w="1560" w:type="dxa"/>
            <w:noWrap w:val="0"/>
            <w:vAlign w:val="center"/>
          </w:tcPr>
          <w:p w14:paraId="4504D4C3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</w:p>
        </w:tc>
        <w:tc>
          <w:tcPr>
            <w:tcW w:w="991" w:type="dxa"/>
            <w:noWrap w:val="0"/>
            <w:vAlign w:val="center"/>
          </w:tcPr>
          <w:p w14:paraId="7BCF29F3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职称</w:t>
            </w:r>
          </w:p>
        </w:tc>
        <w:tc>
          <w:tcPr>
            <w:tcW w:w="1241" w:type="dxa"/>
            <w:noWrap w:val="0"/>
            <w:vAlign w:val="center"/>
          </w:tcPr>
          <w:p w14:paraId="44077415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</w:p>
        </w:tc>
      </w:tr>
      <w:tr w14:paraId="4223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668" w:type="dxa"/>
            <w:noWrap w:val="0"/>
            <w:vAlign w:val="center"/>
          </w:tcPr>
          <w:p w14:paraId="68921B00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所在学科专业</w:t>
            </w:r>
          </w:p>
        </w:tc>
        <w:tc>
          <w:tcPr>
            <w:tcW w:w="3005" w:type="dxa"/>
            <w:gridSpan w:val="3"/>
            <w:noWrap w:val="0"/>
            <w:vAlign w:val="center"/>
          </w:tcPr>
          <w:p w14:paraId="3AC63A75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</w:p>
        </w:tc>
        <w:tc>
          <w:tcPr>
            <w:tcW w:w="2381" w:type="dxa"/>
            <w:gridSpan w:val="2"/>
            <w:noWrap w:val="0"/>
            <w:vAlign w:val="center"/>
          </w:tcPr>
          <w:p w14:paraId="1C7D8F76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本年度指导研究生（人）</w:t>
            </w:r>
          </w:p>
        </w:tc>
        <w:tc>
          <w:tcPr>
            <w:tcW w:w="2232" w:type="dxa"/>
            <w:gridSpan w:val="2"/>
            <w:noWrap w:val="0"/>
            <w:vAlign w:val="center"/>
          </w:tcPr>
          <w:p w14:paraId="229367E2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按学科专业分别填写</w:t>
            </w:r>
          </w:p>
        </w:tc>
      </w:tr>
      <w:tr w14:paraId="5391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noWrap w:val="0"/>
            <w:vAlign w:val="center"/>
          </w:tcPr>
          <w:p w14:paraId="2034806A">
            <w:pPr>
              <w:spacing w:line="30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本年讲授研究生课程及学时</w:t>
            </w:r>
          </w:p>
        </w:tc>
        <w:tc>
          <w:tcPr>
            <w:tcW w:w="7618" w:type="dxa"/>
            <w:gridSpan w:val="7"/>
            <w:noWrap w:val="0"/>
            <w:vAlign w:val="center"/>
          </w:tcPr>
          <w:p w14:paraId="19D1E3C0">
            <w:pPr>
              <w:spacing w:line="500" w:lineRule="exact"/>
              <w:jc w:val="center"/>
              <w:rPr>
                <w:rFonts w:eastAsia="仿宋"/>
                <w:szCs w:val="21"/>
              </w:rPr>
            </w:pPr>
          </w:p>
        </w:tc>
      </w:tr>
      <w:tr w14:paraId="6A9D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6" w:hRule="atLeast"/>
        </w:trPr>
        <w:tc>
          <w:tcPr>
            <w:tcW w:w="1668" w:type="dxa"/>
            <w:noWrap w:val="0"/>
            <w:textDirection w:val="tbRlV"/>
            <w:vAlign w:val="center"/>
          </w:tcPr>
          <w:p w14:paraId="07CF1DD7">
            <w:pPr>
              <w:spacing w:line="500" w:lineRule="exact"/>
              <w:ind w:left="113" w:right="113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本年度工作总结</w:t>
            </w:r>
          </w:p>
        </w:tc>
        <w:tc>
          <w:tcPr>
            <w:tcW w:w="7618" w:type="dxa"/>
            <w:gridSpan w:val="7"/>
            <w:noWrap w:val="0"/>
            <w:vAlign w:val="top"/>
          </w:tcPr>
          <w:p w14:paraId="26EC61A9">
            <w:pPr>
              <w:spacing w:line="36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工作总结包括年度履行导师工作职责情况、科研水平、指导能力等方面。</w:t>
            </w:r>
          </w:p>
        </w:tc>
      </w:tr>
      <w:tr w14:paraId="5E3C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</w:trPr>
        <w:tc>
          <w:tcPr>
            <w:tcW w:w="1668" w:type="dxa"/>
            <w:noWrap w:val="0"/>
            <w:vAlign w:val="center"/>
          </w:tcPr>
          <w:p w14:paraId="3760A9BC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自评等级</w:t>
            </w:r>
          </w:p>
        </w:tc>
        <w:tc>
          <w:tcPr>
            <w:tcW w:w="7618" w:type="dxa"/>
            <w:gridSpan w:val="7"/>
            <w:noWrap w:val="0"/>
            <w:vAlign w:val="center"/>
          </w:tcPr>
          <w:p w14:paraId="0143E343">
            <w:pPr>
              <w:widowControl/>
              <w:shd w:val="clear" w:color="auto" w:fill="FFFFFF"/>
              <w:spacing w:line="360" w:lineRule="exact"/>
              <w:ind w:right="-109"/>
              <w:jc w:val="center"/>
              <w:rPr>
                <w:rFonts w:eastAsia="仿宋"/>
                <w:sz w:val="24"/>
              </w:rPr>
            </w:pP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A         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B          </w:t>
            </w:r>
            <w:r>
              <w:rPr>
                <w:rFonts w:eastAsia="仿宋"/>
                <w:sz w:val="24"/>
              </w:rPr>
              <w:t xml:space="preserve">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C          </w:t>
            </w:r>
            <w:r>
              <w:rPr>
                <w:rFonts w:eastAsia="仿宋"/>
                <w:sz w:val="24"/>
              </w:rPr>
              <w:t xml:space="preserve">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>D</w:t>
            </w:r>
          </w:p>
        </w:tc>
      </w:tr>
      <w:tr w14:paraId="7B2A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9" w:hRule="atLeast"/>
        </w:trPr>
        <w:tc>
          <w:tcPr>
            <w:tcW w:w="1668" w:type="dxa"/>
            <w:noWrap w:val="0"/>
            <w:vAlign w:val="center"/>
          </w:tcPr>
          <w:p w14:paraId="2A5C720F">
            <w:pPr>
              <w:spacing w:line="44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主要依据</w:t>
            </w:r>
          </w:p>
        </w:tc>
        <w:tc>
          <w:tcPr>
            <w:tcW w:w="7618" w:type="dxa"/>
            <w:gridSpan w:val="7"/>
            <w:noWrap w:val="0"/>
            <w:vAlign w:val="top"/>
          </w:tcPr>
          <w:p w14:paraId="0ED2FBA2">
            <w:pPr>
              <w:spacing w:line="360" w:lineRule="exact"/>
              <w:jc w:val="center"/>
              <w:rPr>
                <w:rFonts w:eastAsia="仿宋"/>
                <w:color w:val="4F81BD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符合《河北建筑工程学院研究生指导教师考核管理办法》中优秀等级条件的以下情形：</w:t>
            </w:r>
          </w:p>
          <w:p w14:paraId="674BA552">
            <w:pPr>
              <w:spacing w:line="360" w:lineRule="exact"/>
              <w:jc w:val="center"/>
              <w:rPr>
                <w:rFonts w:eastAsia="仿宋"/>
                <w:color w:val="4F81BD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（1）在考核年度内，指导**名研究生，在账可支配科研经费额度**万元，</w:t>
            </w:r>
          </w:p>
          <w:p w14:paraId="74C15CD1">
            <w:pPr>
              <w:spacing w:line="360" w:lineRule="exact"/>
              <w:jc w:val="center"/>
              <w:rPr>
                <w:rFonts w:eastAsia="仿宋"/>
                <w:color w:val="4F81BD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（2）第1条：2025级**专业研究生**同学获得校级优秀学位论文。</w:t>
            </w:r>
          </w:p>
          <w:p w14:paraId="49AFFD6D">
            <w:pPr>
              <w:spacing w:line="360" w:lineRule="exact"/>
              <w:jc w:val="center"/>
              <w:rPr>
                <w:rFonts w:eastAsia="仿宋"/>
                <w:color w:val="4F81BD"/>
                <w:szCs w:val="21"/>
              </w:rPr>
            </w:pPr>
            <w:r>
              <w:rPr>
                <w:rFonts w:eastAsia="仿宋"/>
                <w:color w:val="4F81BD"/>
                <w:szCs w:val="21"/>
              </w:rPr>
              <w:t>……</w:t>
            </w:r>
          </w:p>
        </w:tc>
      </w:tr>
      <w:tr w14:paraId="2B75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1668" w:type="dxa"/>
            <w:noWrap w:val="0"/>
            <w:vAlign w:val="center"/>
          </w:tcPr>
          <w:p w14:paraId="76EF35A0">
            <w:pPr>
              <w:spacing w:line="28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院系确定的</w:t>
            </w:r>
          </w:p>
          <w:p w14:paraId="6D45B3CE">
            <w:pPr>
              <w:spacing w:line="28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考核结果</w:t>
            </w:r>
          </w:p>
        </w:tc>
        <w:tc>
          <w:tcPr>
            <w:tcW w:w="7618" w:type="dxa"/>
            <w:gridSpan w:val="7"/>
            <w:noWrap w:val="0"/>
            <w:vAlign w:val="center"/>
          </w:tcPr>
          <w:p w14:paraId="28BF6F1A">
            <w:pPr>
              <w:tabs>
                <w:tab w:val="left" w:pos="5646"/>
              </w:tabs>
              <w:jc w:val="center"/>
            </w:pP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A         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B          </w:t>
            </w:r>
            <w:r>
              <w:rPr>
                <w:rFonts w:eastAsia="仿宋"/>
                <w:sz w:val="24"/>
              </w:rPr>
              <w:t xml:space="preserve">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 xml:space="preserve">C          </w:t>
            </w:r>
            <w:r>
              <w:rPr>
                <w:rFonts w:eastAsia="仿宋"/>
                <w:sz w:val="24"/>
              </w:rPr>
              <w:t xml:space="preserve"> </w:t>
            </w:r>
            <w:r>
              <w:rPr>
                <w:rFonts w:eastAsia="仿宋"/>
                <w:sz w:val="24"/>
              </w:rPr>
              <w:sym w:font="Wingdings 2" w:char="00A3"/>
            </w:r>
            <w:r>
              <w:rPr>
                <w:rFonts w:hint="eastAsia" w:eastAsia="仿宋"/>
                <w:sz w:val="24"/>
              </w:rPr>
              <w:t>D</w:t>
            </w:r>
          </w:p>
        </w:tc>
      </w:tr>
      <w:tr w14:paraId="2273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286" w:type="dxa"/>
            <w:gridSpan w:val="8"/>
            <w:noWrap w:val="0"/>
            <w:vAlign w:val="center"/>
          </w:tcPr>
          <w:p w14:paraId="52071E99">
            <w:pPr>
              <w:spacing w:line="28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院系意见</w:t>
            </w:r>
          </w:p>
        </w:tc>
      </w:tr>
      <w:tr w14:paraId="7702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1" w:hRule="atLeast"/>
        </w:trPr>
        <w:tc>
          <w:tcPr>
            <w:tcW w:w="9286" w:type="dxa"/>
            <w:gridSpan w:val="8"/>
            <w:noWrap w:val="0"/>
            <w:vAlign w:val="center"/>
          </w:tcPr>
          <w:p w14:paraId="1EE79B85">
            <w:pPr>
              <w:tabs>
                <w:tab w:val="left" w:pos="5646"/>
              </w:tabs>
              <w:ind w:right="2153" w:rightChars="1025"/>
              <w:jc w:val="left"/>
              <w:rPr>
                <w:b/>
                <w:bCs/>
                <w:sz w:val="24"/>
              </w:rPr>
            </w:pPr>
          </w:p>
          <w:p w14:paraId="0EF9A540">
            <w:pPr>
              <w:tabs>
                <w:tab w:val="left" w:pos="5646"/>
              </w:tabs>
              <w:ind w:right="2153" w:rightChars="1025"/>
              <w:jc w:val="left"/>
              <w:rPr>
                <w:b/>
                <w:bCs/>
                <w:sz w:val="24"/>
              </w:rPr>
            </w:pPr>
          </w:p>
          <w:p w14:paraId="01064AAC">
            <w:pPr>
              <w:tabs>
                <w:tab w:val="left" w:pos="5646"/>
              </w:tabs>
              <w:ind w:right="2153" w:rightChars="1025"/>
              <w:jc w:val="left"/>
              <w:rPr>
                <w:b/>
                <w:bCs/>
                <w:sz w:val="24"/>
              </w:rPr>
            </w:pPr>
          </w:p>
          <w:p w14:paraId="1FC5E16B">
            <w:pPr>
              <w:tabs>
                <w:tab w:val="left" w:pos="5646"/>
              </w:tabs>
              <w:ind w:right="2153" w:rightChars="1025"/>
              <w:jc w:val="left"/>
              <w:rPr>
                <w:b/>
                <w:bCs/>
                <w:sz w:val="24"/>
              </w:rPr>
            </w:pPr>
          </w:p>
          <w:p w14:paraId="448E1823">
            <w:pPr>
              <w:tabs>
                <w:tab w:val="left" w:pos="5646"/>
              </w:tabs>
              <w:ind w:right="2153" w:rightChars="1025"/>
              <w:jc w:val="righ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负责人签字: </w:t>
            </w:r>
          </w:p>
          <w:p w14:paraId="241BE4C8">
            <w:pPr>
              <w:tabs>
                <w:tab w:val="left" w:pos="5646"/>
              </w:tabs>
              <w:ind w:right="2153" w:rightChars="1025"/>
              <w:jc w:val="righ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盖章         </w:t>
            </w:r>
          </w:p>
          <w:p w14:paraId="7E33F361">
            <w:pPr>
              <w:tabs>
                <w:tab w:val="left" w:pos="5646"/>
              </w:tabs>
              <w:ind w:right="2153" w:rightChars="1025"/>
              <w:jc w:val="righ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年   月   日</w:t>
            </w:r>
          </w:p>
        </w:tc>
      </w:tr>
    </w:tbl>
    <w:p w14:paraId="50EB33FC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t>注：考核结果</w:t>
      </w:r>
      <w:r>
        <w:rPr>
          <w:rFonts w:hint="eastAsia"/>
        </w:rPr>
        <w:t>为A等</w:t>
      </w:r>
      <w:r>
        <w:t>的导师，请提供佐证材料</w:t>
      </w:r>
      <w:r>
        <w:rPr>
          <w:rFonts w:hint="eastAsia"/>
        </w:rPr>
        <w:t>；</w:t>
      </w:r>
      <w:r>
        <w:t>填写本表时请将表中的蓝色字体示例删除</w:t>
      </w:r>
    </w:p>
    <w:p w14:paraId="75AC387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8570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91D465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391D465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76D0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67DC9"/>
    <w:rsid w:val="7B16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2025-06-16T03:43:00Z</dcterms:created>
  <dc:creator>aa</dc:creator>
  <cp:lastModifiedBy>aa</cp:lastModifiedBy>
  <dcterms:modified xsi:type="dcterms:W3CDTF">2025-06-16T03:43:26Z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85B80CF155B043D0A717D8BBCD31E6D2_11</vt:lpwstr>
  </property>
  <property fmtid="{D5CDD505-2E9C-101B-9397-08002B2CF9AE}" pid="4" name="KSOTemplateDocerSaveRecord">
    <vt:lpwstr>eyJoZGlkIjoiOGY4ODMwOWI2ZDE2OWVjY2Y4YWZhZDdhYzI3MTc2NzUifQ==</vt:lpwstr>
  </property>
</Properties>
</file>