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0BA3C">
      <w:pPr>
        <w:jc w:val="center"/>
        <w:rPr>
          <w:rFonts w:hint="default" w:eastAsia="宋体"/>
          <w:b/>
          <w:color w:val="FF0000"/>
          <w:sz w:val="44"/>
          <w:szCs w:val="44"/>
          <w:lang w:val="en-US" w:eastAsia="zh-CN"/>
        </w:rPr>
      </w:pPr>
    </w:p>
    <w:p w14:paraId="136E0644">
      <w:pPr>
        <w:jc w:val="center"/>
        <w:rPr>
          <w:rFonts w:hint="default" w:eastAsia="宋体"/>
          <w:b/>
          <w:color w:val="FF0000"/>
          <w:sz w:val="44"/>
          <w:szCs w:val="44"/>
          <w:lang w:val="en-US" w:eastAsia="zh-CN"/>
        </w:rPr>
      </w:pPr>
    </w:p>
    <w:p w14:paraId="7B4FA4D1">
      <w:pPr>
        <w:jc w:val="center"/>
        <w:rPr>
          <w:rFonts w:hint="default" w:eastAsia="宋体"/>
          <w:b/>
          <w:color w:val="FF0000"/>
          <w:sz w:val="44"/>
          <w:szCs w:val="44"/>
          <w:lang w:val="en-US" w:eastAsia="zh-CN"/>
        </w:rPr>
      </w:pPr>
    </w:p>
    <w:p w14:paraId="1102B8FA">
      <w:pPr>
        <w:jc w:val="center"/>
        <w:rPr>
          <w:rFonts w:hint="default" w:eastAsia="宋体"/>
          <w:b/>
          <w:color w:val="FF0000"/>
          <w:sz w:val="44"/>
          <w:szCs w:val="44"/>
          <w:lang w:val="en-US" w:eastAsia="zh-CN"/>
        </w:rPr>
      </w:pPr>
    </w:p>
    <w:p w14:paraId="319E0475">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0F8B8137">
      <w:pPr>
        <w:ind w:firstLine="270" w:firstLineChars="100"/>
        <w:jc w:val="both"/>
        <w:rPr>
          <w:rFonts w:hint="eastAsia" w:ascii="宋体" w:hAnsi="宋体"/>
          <w:color w:val="000000"/>
          <w:sz w:val="27"/>
          <w:szCs w:val="27"/>
        </w:rPr>
      </w:pPr>
    </w:p>
    <w:p w14:paraId="477698A3">
      <w:pPr>
        <w:jc w:val="center"/>
        <w:rPr>
          <w:rFonts w:hint="default" w:ascii="宋体" w:hAnsi="宋体"/>
          <w:szCs w:val="21"/>
          <w:lang w:val="en-US"/>
        </w:rPr>
      </w:pPr>
      <w:bookmarkStart w:id="2"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56</w:t>
      </w:r>
      <w:r>
        <w:rPr>
          <w:rFonts w:hint="eastAsia" w:ascii="仿宋" w:hAnsi="仿宋" w:eastAsia="仿宋" w:cs="仿宋"/>
          <w:color w:val="000000"/>
          <w:sz w:val="32"/>
          <w:szCs w:val="32"/>
        </w:rPr>
        <w:t>号</w:t>
      </w:r>
      <w:bookmarkEnd w:id="2"/>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2" name="直接连接符 2"/>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q1CeP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GWcOLF34&#10;3ecfvz59vf/5hda779/YL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D6rUJ4/AEAAPMDAAAOAAAAAAAAAAEAIAAAACcBAABkcnMvZTJv&#10;RG9jLnhtbFBLBQYAAAAABgAGAFkBAACVBQAAAAA=&#10;">
                <v:path arrowok="t"/>
                <v:fill on="f" focussize="0,0"/>
                <v:stroke weight="3pt" color="#FF0000" joinstyle="round"/>
                <v:imagedata o:title=""/>
                <o:lock v:ext="edit" aspectratio="f"/>
              </v:line>
            </w:pict>
          </mc:Fallback>
        </mc:AlternateContent>
      </w:r>
    </w:p>
    <w:p w14:paraId="55CB59B4">
      <w:pPr>
        <w:jc w:val="center"/>
        <w:rPr>
          <w:rFonts w:hint="eastAsia"/>
          <w:szCs w:val="21"/>
        </w:rPr>
      </w:pPr>
    </w:p>
    <w:p w14:paraId="605AAAAA">
      <w:pPr>
        <w:jc w:val="center"/>
        <w:rPr>
          <w:rFonts w:hint="eastAsia" w:eastAsia="宋体"/>
          <w:szCs w:val="21"/>
          <w:lang w:val="en-US" w:eastAsia="zh-CN"/>
        </w:rPr>
      </w:pPr>
      <w:r>
        <w:rPr>
          <w:rFonts w:hint="eastAsia"/>
          <w:szCs w:val="21"/>
          <w:lang w:val="en-US" w:eastAsia="zh-CN"/>
        </w:rPr>
        <w:t xml:space="preserve"> </w:t>
      </w:r>
    </w:p>
    <w:p w14:paraId="703DB8C7">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473A182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11"/>
          <w:sz w:val="44"/>
          <w:szCs w:val="44"/>
          <w:lang w:val="en-US" w:eastAsia="zh-CN"/>
        </w:rPr>
      </w:pPr>
      <w:r>
        <w:rPr>
          <w:rFonts w:hint="eastAsia" w:ascii="宋体" w:hAnsi="宋体"/>
          <w:b/>
          <w:bCs/>
          <w:spacing w:val="-11"/>
          <w:sz w:val="44"/>
          <w:szCs w:val="44"/>
          <w:lang w:val="en-US" w:eastAsia="zh-CN"/>
        </w:rPr>
        <w:t>关于研究生在学期间发表创新成果的规定</w:t>
      </w:r>
    </w:p>
    <w:p w14:paraId="7F3775A6">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12"/>
          <w:sz w:val="44"/>
          <w:szCs w:val="44"/>
        </w:rPr>
      </w:pPr>
      <w:r>
        <w:rPr>
          <w:rFonts w:hint="eastAsia" w:ascii="宋体" w:hAnsi="宋体"/>
          <w:b/>
          <w:bCs/>
          <w:spacing w:val="-11"/>
          <w:sz w:val="44"/>
          <w:szCs w:val="44"/>
          <w:lang w:val="en-US" w:eastAsia="zh-CN"/>
        </w:rPr>
        <w:t>(修订)》的</w:t>
      </w:r>
      <w:r>
        <w:rPr>
          <w:rFonts w:hint="eastAsia" w:ascii="宋体" w:hAnsi="宋体"/>
          <w:b/>
          <w:bCs/>
          <w:spacing w:val="0"/>
          <w:sz w:val="44"/>
          <w:szCs w:val="44"/>
          <w:lang w:val="en-US" w:eastAsia="zh-CN"/>
        </w:rPr>
        <w:t>通知</w:t>
      </w:r>
    </w:p>
    <w:p w14:paraId="4C10BD72">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34B2495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为进一步改进研究生科研创新能力评价方法，提升培养质量，</w:t>
      </w:r>
      <w:r>
        <w:rPr>
          <w:rFonts w:hint="eastAsia" w:ascii="仿宋" w:hAnsi="仿宋" w:eastAsia="仿宋" w:cs="仿宋"/>
          <w:sz w:val="32"/>
          <w:szCs w:val="32"/>
          <w:lang w:val="en-US" w:eastAsia="zh-CN"/>
        </w:rPr>
        <w:t>特对</w:t>
      </w:r>
      <w:r>
        <w:rPr>
          <w:rFonts w:hint="eastAsia" w:ascii="仿宋" w:hAnsi="仿宋" w:eastAsia="仿宋" w:cs="仿宋"/>
          <w:sz w:val="32"/>
          <w:szCs w:val="32"/>
          <w:lang w:eastAsia="zh-CN"/>
        </w:rPr>
        <w:t>《河北建筑工程学院关于研究生在学期间发表创新成果的规定》</w:t>
      </w:r>
      <w:r>
        <w:rPr>
          <w:rFonts w:hint="eastAsia" w:ascii="仿宋" w:hAnsi="仿宋" w:eastAsia="仿宋" w:cs="仿宋"/>
          <w:sz w:val="32"/>
          <w:szCs w:val="32"/>
          <w:lang w:val="en-US" w:eastAsia="zh-CN"/>
        </w:rPr>
        <w:t>进行修订</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现印发给你们，请遵照执行。</w:t>
      </w:r>
    </w:p>
    <w:p w14:paraId="2D63D05E">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 w:eastAsia="仿宋_GB2312" w:cs="仿宋"/>
          <w:sz w:val="32"/>
          <w:szCs w:val="32"/>
          <w:lang w:val="en-US" w:eastAsia="zh-CN"/>
        </w:rPr>
      </w:pPr>
    </w:p>
    <w:p w14:paraId="4B5A6BC8">
      <w:pPr>
        <w:keepNext w:val="0"/>
        <w:keepLines w:val="0"/>
        <w:pageBreakBefore w:val="0"/>
        <w:widowControl w:val="0"/>
        <w:kinsoku/>
        <w:wordWrap/>
        <w:overflowPunct/>
        <w:topLinePunct w:val="0"/>
        <w:autoSpaceDE/>
        <w:autoSpaceDN/>
        <w:bidi w:val="0"/>
        <w:adjustRightInd/>
        <w:snapToGrid/>
        <w:spacing w:line="440" w:lineRule="exact"/>
        <w:ind w:left="1598" w:leftChars="304" w:hanging="960" w:hangingChars="300"/>
        <w:jc w:val="left"/>
        <w:textAlignment w:val="auto"/>
        <w:rPr>
          <w:rFonts w:hint="eastAsia" w:ascii="仿宋_GB2312" w:hAnsi="仿宋" w:eastAsia="仿宋_GB2312" w:cs="仿宋"/>
          <w:spacing w:val="-11"/>
          <w:sz w:val="32"/>
          <w:szCs w:val="32"/>
          <w:lang w:val="en-US" w:eastAsia="zh-CN"/>
        </w:rPr>
      </w:pPr>
      <w:r>
        <w:rPr>
          <w:rFonts w:hint="eastAsia" w:ascii="仿宋_GB2312" w:hAnsi="仿宋" w:eastAsia="仿宋_GB2312" w:cs="仿宋"/>
          <w:sz w:val="32"/>
          <w:szCs w:val="32"/>
          <w:lang w:val="en-US" w:eastAsia="zh-CN"/>
        </w:rPr>
        <w:t>附件</w:t>
      </w:r>
      <w:r>
        <w:rPr>
          <w:rFonts w:hint="eastAsia" w:ascii="仿宋_GB2312" w:hAnsi="仿宋" w:eastAsia="仿宋_GB2312" w:cs="仿宋"/>
          <w:spacing w:val="-17"/>
          <w:sz w:val="32"/>
          <w:szCs w:val="32"/>
          <w:lang w:val="en-US" w:eastAsia="zh-CN"/>
        </w:rPr>
        <w:t>：</w:t>
      </w:r>
      <w:r>
        <w:rPr>
          <w:rFonts w:hint="eastAsia" w:ascii="仿宋_GB2312" w:hAnsi="仿宋" w:eastAsia="仿宋_GB2312" w:cs="仿宋"/>
          <w:spacing w:val="-11"/>
          <w:sz w:val="32"/>
          <w:szCs w:val="32"/>
          <w:lang w:val="en-US" w:eastAsia="zh-CN"/>
        </w:rPr>
        <w:t>河北建筑工程学院关于研究生在学期间发表创新成果</w:t>
      </w:r>
    </w:p>
    <w:p w14:paraId="24928E47">
      <w:pPr>
        <w:keepNext w:val="0"/>
        <w:keepLines w:val="0"/>
        <w:pageBreakBefore w:val="0"/>
        <w:widowControl w:val="0"/>
        <w:kinsoku/>
        <w:wordWrap/>
        <w:overflowPunct/>
        <w:topLinePunct w:val="0"/>
        <w:autoSpaceDE/>
        <w:autoSpaceDN/>
        <w:bidi w:val="0"/>
        <w:adjustRightInd/>
        <w:snapToGrid/>
        <w:spacing w:line="440" w:lineRule="exact"/>
        <w:ind w:firstLine="1490" w:firstLineChars="500"/>
        <w:jc w:val="left"/>
        <w:textAlignment w:val="auto"/>
        <w:rPr>
          <w:rFonts w:hint="eastAsia" w:ascii="仿宋_GB2312" w:hAnsi="仿宋" w:eastAsia="仿宋_GB2312" w:cs="仿宋"/>
          <w:spacing w:val="-11"/>
          <w:sz w:val="32"/>
          <w:szCs w:val="32"/>
          <w:lang w:val="en-US" w:eastAsia="zh-CN"/>
        </w:rPr>
      </w:pPr>
      <w:r>
        <w:rPr>
          <w:rFonts w:hint="eastAsia" w:ascii="仿宋_GB2312" w:hAnsi="仿宋" w:eastAsia="仿宋_GB2312" w:cs="仿宋"/>
          <w:spacing w:val="-11"/>
          <w:sz w:val="32"/>
          <w:szCs w:val="32"/>
          <w:lang w:val="en-US" w:eastAsia="zh-CN"/>
        </w:rPr>
        <w:t>的规定（修订）</w:t>
      </w:r>
    </w:p>
    <w:p w14:paraId="1F3A3156">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 w:eastAsia="仿宋_GB2312" w:cs="仿宋"/>
          <w:spacing w:val="-11"/>
          <w:sz w:val="32"/>
          <w:szCs w:val="32"/>
          <w:lang w:val="en-US" w:eastAsia="zh-CN"/>
        </w:rPr>
      </w:pPr>
    </w:p>
    <w:p w14:paraId="405C54B8">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 w:eastAsia="仿宋_GB2312" w:cs="仿宋"/>
          <w:spacing w:val="-11"/>
          <w:sz w:val="32"/>
          <w:szCs w:val="32"/>
          <w:lang w:val="en-US" w:eastAsia="zh-CN"/>
        </w:rPr>
      </w:pPr>
    </w:p>
    <w:p w14:paraId="3A65E18F">
      <w:pPr>
        <w:keepNext w:val="0"/>
        <w:keepLines w:val="0"/>
        <w:pageBreakBefore w:val="0"/>
        <w:widowControl w:val="0"/>
        <w:kinsoku/>
        <w:wordWrap w:val="0"/>
        <w:overflowPunct/>
        <w:topLinePunct w:val="0"/>
        <w:autoSpaceDE/>
        <w:autoSpaceDN/>
        <w:bidi w:val="0"/>
        <w:adjustRightInd/>
        <w:snapToGrid/>
        <w:spacing w:before="625" w:beforeLines="200" w:after="687" w:afterLines="220" w:line="50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2025年6月12日  </w:t>
      </w:r>
    </w:p>
    <w:p w14:paraId="65C1E547">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6</w:t>
      </w:r>
      <w:r>
        <w:rPr>
          <w:rFonts w:hint="eastAsia" w:ascii="仿宋" w:hAnsi="仿宋" w:eastAsia="仿宋" w:cs="仿宋"/>
          <w:sz w:val="28"/>
          <w:szCs w:val="28"/>
        </w:rPr>
        <w:t>月</w:t>
      </w:r>
      <w:r>
        <w:rPr>
          <w:rFonts w:hint="eastAsia" w:ascii="仿宋" w:hAnsi="仿宋" w:eastAsia="仿宋" w:cs="仿宋"/>
          <w:sz w:val="28"/>
          <w:szCs w:val="28"/>
          <w:lang w:val="en-US" w:eastAsia="zh-CN"/>
        </w:rPr>
        <w:t>12</w:t>
      </w:r>
      <w:r>
        <w:rPr>
          <w:rFonts w:hint="eastAsia" w:ascii="仿宋" w:hAnsi="仿宋" w:eastAsia="仿宋" w:cs="仿宋"/>
          <w:sz w:val="28"/>
          <w:szCs w:val="28"/>
        </w:rPr>
        <w:t>日印发</w:t>
      </w:r>
    </w:p>
    <w:p w14:paraId="4046D553">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7A727207">
      <w:pPr>
        <w:jc w:val="center"/>
        <w:rPr>
          <w:rFonts w:hint="eastAsia" w:ascii="宋体" w:hAnsi="宋体" w:eastAsia="宋体" w:cs="宋体"/>
          <w:b/>
          <w:sz w:val="44"/>
          <w:szCs w:val="44"/>
          <w:lang w:val="en-US" w:eastAsia="zh-CN"/>
        </w:rPr>
      </w:pPr>
    </w:p>
    <w:p w14:paraId="2A023BC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cs="黑体"/>
          <w:b/>
          <w:bCs/>
          <w:sz w:val="44"/>
          <w:szCs w:val="44"/>
        </w:rPr>
      </w:pPr>
      <w:r>
        <w:rPr>
          <w:rFonts w:hint="eastAsia" w:ascii="宋体" w:hAnsi="宋体" w:cs="黑体"/>
          <w:b/>
          <w:bCs/>
          <w:sz w:val="44"/>
          <w:szCs w:val="44"/>
        </w:rPr>
        <w:t>河北建筑工程学院</w:t>
      </w:r>
    </w:p>
    <w:p w14:paraId="7E430CC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cs="黑体"/>
          <w:b/>
          <w:bCs/>
          <w:sz w:val="44"/>
          <w:szCs w:val="44"/>
        </w:rPr>
      </w:pPr>
      <w:r>
        <w:rPr>
          <w:rFonts w:hint="eastAsia" w:ascii="宋体" w:hAnsi="宋体" w:cs="黑体"/>
          <w:b/>
          <w:bCs/>
          <w:sz w:val="44"/>
          <w:szCs w:val="44"/>
        </w:rPr>
        <w:t>关于研究生在学期间发表创新成果的规定（修订）</w:t>
      </w:r>
    </w:p>
    <w:p w14:paraId="7C10E94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cs="黑体"/>
          <w:b/>
          <w:bCs/>
          <w:sz w:val="44"/>
          <w:szCs w:val="44"/>
        </w:rPr>
      </w:pPr>
    </w:p>
    <w:p w14:paraId="30C5A125">
      <w:pPr>
        <w:keepNext w:val="0"/>
        <w:keepLines w:val="0"/>
        <w:pageBreakBefore w:val="0"/>
        <w:widowControl w:val="0"/>
        <w:kinsoku/>
        <w:wordWrap/>
        <w:overflowPunct/>
        <w:topLinePunct w:val="0"/>
        <w:autoSpaceDE/>
        <w:autoSpaceDN/>
        <w:bidi w:val="0"/>
        <w:adjustRightInd/>
        <w:snapToGrid/>
        <w:spacing w:before="156" w:beforeLines="50" w:line="560" w:lineRule="exact"/>
        <w:jc w:val="center"/>
        <w:textAlignment w:val="auto"/>
        <w:rPr>
          <w:rFonts w:eastAsia="黑体"/>
          <w:sz w:val="32"/>
          <w:szCs w:val="32"/>
        </w:rPr>
      </w:pPr>
      <w:r>
        <w:rPr>
          <w:rFonts w:eastAsia="黑体"/>
          <w:sz w:val="32"/>
          <w:szCs w:val="32"/>
        </w:rPr>
        <w:t>第一章 总则</w:t>
      </w:r>
    </w:p>
    <w:p w14:paraId="1063D3B8">
      <w:pPr>
        <w:keepNext w:val="0"/>
        <w:keepLines w:val="0"/>
        <w:pageBreakBefore w:val="0"/>
        <w:widowControl w:val="0"/>
        <w:kinsoku/>
        <w:wordWrap/>
        <w:overflowPunct/>
        <w:topLinePunct w:val="0"/>
        <w:autoSpaceDE/>
        <w:autoSpaceDN/>
        <w:bidi w:val="0"/>
        <w:adjustRightInd/>
        <w:snapToGrid/>
        <w:spacing w:before="156" w:beforeLines="50" w:line="560" w:lineRule="exact"/>
        <w:ind w:firstLine="643" w:firstLineChars="200"/>
        <w:textAlignment w:val="auto"/>
        <w:rPr>
          <w:rFonts w:eastAsia="仿宋_GB2312"/>
          <w:sz w:val="32"/>
          <w:szCs w:val="32"/>
        </w:rPr>
      </w:pPr>
      <w:r>
        <w:rPr>
          <w:rFonts w:eastAsia="仿宋_GB2312"/>
          <w:b/>
          <w:bCs/>
          <w:sz w:val="32"/>
          <w:szCs w:val="32"/>
        </w:rPr>
        <w:t>第一条</w:t>
      </w:r>
      <w:r>
        <w:rPr>
          <w:rFonts w:eastAsia="仿宋_GB2312"/>
          <w:sz w:val="32"/>
          <w:szCs w:val="32"/>
        </w:rPr>
        <w:t xml:space="preserve"> 为进一步改进研究生科研创新能力评价方法，提升培养质量，根据《河北建筑工程学院学位授予实施办法》（</w:t>
      </w:r>
      <w:r>
        <w:rPr>
          <w:rFonts w:eastAsia="仿宋"/>
          <w:sz w:val="32"/>
          <w:szCs w:val="32"/>
        </w:rPr>
        <w:t>校教〔2024〕22号</w:t>
      </w:r>
      <w:r>
        <w:rPr>
          <w:rFonts w:eastAsia="仿宋_GB2312"/>
          <w:sz w:val="32"/>
          <w:szCs w:val="32"/>
        </w:rPr>
        <w:t>），结合我校实际，制定本规定。</w:t>
      </w:r>
    </w:p>
    <w:p w14:paraId="3FA8339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eastAsia="仿宋_GB2312"/>
          <w:sz w:val="32"/>
          <w:szCs w:val="32"/>
        </w:rPr>
      </w:pPr>
      <w:r>
        <w:rPr>
          <w:rFonts w:eastAsia="仿宋_GB2312"/>
          <w:b/>
          <w:bCs/>
          <w:sz w:val="32"/>
          <w:szCs w:val="32"/>
        </w:rPr>
        <w:t>第二条</w:t>
      </w:r>
      <w:r>
        <w:rPr>
          <w:rFonts w:eastAsia="仿宋_GB2312"/>
          <w:sz w:val="32"/>
          <w:szCs w:val="32"/>
        </w:rPr>
        <w:t xml:space="preserve"> 本规定所指创新成果包括：公开发表的中外文学术期刊论文；已授权并转化的发明专利；省部级以上政府性科研成果奖励（以证书为准）；指定的全国性研究生创新实践竞赛二等奖及以上奖励（以证书为准）。研究生应结合学位论文工作发表创新成果，创新成果内容应与学位论文密切相关。各院系可根据自身学科特点，制定高于本规定的创新成果发表要求。</w:t>
      </w:r>
    </w:p>
    <w:p w14:paraId="6C1716E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eastAsia="仿宋_GB2312"/>
          <w:sz w:val="32"/>
          <w:szCs w:val="32"/>
        </w:rPr>
      </w:pPr>
      <w:r>
        <w:rPr>
          <w:rFonts w:eastAsia="仿宋_GB2312"/>
          <w:b/>
          <w:bCs/>
          <w:sz w:val="32"/>
          <w:szCs w:val="32"/>
        </w:rPr>
        <w:t xml:space="preserve">第三条 </w:t>
      </w:r>
      <w:r>
        <w:rPr>
          <w:rFonts w:eastAsia="仿宋_GB2312"/>
          <w:sz w:val="32"/>
          <w:szCs w:val="32"/>
        </w:rPr>
        <w:t>研究生所发表创新成果的署名单位必须为“河北建筑工程学院”（英文名称：Hebei University of Architecture），或“河北建筑工程学院+二级单位名称”（对应的英文名称）。</w:t>
      </w:r>
    </w:p>
    <w:p w14:paraId="64E1EEC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eastAsia="仿宋_GB2312"/>
          <w:sz w:val="32"/>
          <w:szCs w:val="32"/>
        </w:rPr>
      </w:pPr>
    </w:p>
    <w:p w14:paraId="064F4C0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eastAsia="黑体"/>
          <w:sz w:val="32"/>
          <w:szCs w:val="32"/>
        </w:rPr>
      </w:pPr>
      <w:r>
        <w:rPr>
          <w:rFonts w:eastAsia="黑体"/>
          <w:sz w:val="32"/>
          <w:szCs w:val="32"/>
        </w:rPr>
        <w:t>第二章 基本要求</w:t>
      </w:r>
    </w:p>
    <w:p w14:paraId="3ED9047C">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eastAsia="仿宋_GB2312"/>
          <w:sz w:val="32"/>
          <w:szCs w:val="32"/>
        </w:rPr>
      </w:pPr>
      <w:r>
        <w:rPr>
          <w:rFonts w:eastAsia="仿宋_GB2312"/>
          <w:b/>
          <w:bCs/>
          <w:sz w:val="32"/>
          <w:szCs w:val="32"/>
        </w:rPr>
        <w:t xml:space="preserve">第四条 </w:t>
      </w:r>
      <w:r>
        <w:rPr>
          <w:rFonts w:eastAsia="仿宋_GB2312"/>
          <w:sz w:val="32"/>
          <w:szCs w:val="32"/>
        </w:rPr>
        <w:t>本规定所指公开发表的中外文学术期刊论文的具体要求为：研究生在国内外本专业学术期刊以第一作者</w:t>
      </w:r>
      <w:bookmarkStart w:id="0" w:name="_Hlk194583343"/>
      <w:r>
        <w:rPr>
          <w:rFonts w:eastAsia="仿宋_GB2312"/>
          <w:sz w:val="32"/>
          <w:szCs w:val="32"/>
        </w:rPr>
        <w:t>（含导师第一、学生第二）</w:t>
      </w:r>
      <w:bookmarkEnd w:id="0"/>
      <w:r>
        <w:rPr>
          <w:rFonts w:eastAsia="仿宋_GB2312"/>
          <w:sz w:val="32"/>
          <w:szCs w:val="32"/>
        </w:rPr>
        <w:t>公开发表学术论文1篇及以上。</w:t>
      </w:r>
    </w:p>
    <w:p w14:paraId="03B73D6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eastAsia="仿宋_GB2312"/>
          <w:sz w:val="32"/>
          <w:szCs w:val="32"/>
        </w:rPr>
      </w:pPr>
      <w:r>
        <w:rPr>
          <w:rFonts w:eastAsia="仿宋_GB2312"/>
          <w:sz w:val="32"/>
          <w:szCs w:val="32"/>
        </w:rPr>
        <w:t>发表在普通刊物的论文，必须在硕士学位申请资格审查前见刊；发表在中文核心期刊、SCI、SSCI、EI、A&amp;HCI检索期刊的学术论文，如在硕士学位申请资格审查时尚未见刊，可以期刊编辑部出具的正式录用通知或在线发表或含有论文DOI号的佐证材料作为证明。</w:t>
      </w:r>
    </w:p>
    <w:p w14:paraId="082CFF1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eastAsia="仿宋_GB2312"/>
          <w:sz w:val="32"/>
          <w:szCs w:val="32"/>
        </w:rPr>
      </w:pPr>
      <w:r>
        <w:rPr>
          <w:rFonts w:eastAsia="仿宋_GB2312"/>
          <w:sz w:val="32"/>
          <w:szCs w:val="32"/>
        </w:rPr>
        <w:t>上述论文仅指研究论文、快报和综述等研究论文，不含书评等其他形式的文章；上述论文不包括会议论文（集）和增刊上发表的论文。</w:t>
      </w:r>
    </w:p>
    <w:p w14:paraId="1B3A5C35">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eastAsia="仿宋_GB2312"/>
          <w:sz w:val="32"/>
          <w:szCs w:val="32"/>
        </w:rPr>
      </w:pPr>
      <w:r>
        <w:rPr>
          <w:rFonts w:eastAsia="仿宋_GB2312"/>
          <w:b/>
          <w:bCs/>
          <w:sz w:val="32"/>
          <w:szCs w:val="32"/>
        </w:rPr>
        <w:t xml:space="preserve">第五条 </w:t>
      </w:r>
      <w:r>
        <w:rPr>
          <w:rFonts w:eastAsia="仿宋_GB2312"/>
          <w:sz w:val="32"/>
          <w:szCs w:val="32"/>
        </w:rPr>
        <w:t>本规定所指已授权的发明专利的具体要求为：</w:t>
      </w:r>
      <w:bookmarkStart w:id="1" w:name="_Hlk194583507"/>
      <w:r>
        <w:rPr>
          <w:rFonts w:eastAsia="仿宋_GB2312"/>
          <w:sz w:val="32"/>
          <w:szCs w:val="32"/>
        </w:rPr>
        <w:t>研究生本人为第一发明人（含导师第一、学生第二）、我校为专利权人的已授权发明专利。</w:t>
      </w:r>
      <w:bookmarkEnd w:id="1"/>
    </w:p>
    <w:p w14:paraId="3C222CEC">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eastAsia="仿宋_GB2312"/>
          <w:sz w:val="32"/>
          <w:szCs w:val="32"/>
        </w:rPr>
      </w:pPr>
      <w:r>
        <w:rPr>
          <w:rFonts w:eastAsia="仿宋_GB2312"/>
          <w:b/>
          <w:bCs/>
          <w:sz w:val="32"/>
          <w:szCs w:val="32"/>
        </w:rPr>
        <w:t xml:space="preserve">第六条 </w:t>
      </w:r>
      <w:r>
        <w:rPr>
          <w:rFonts w:eastAsia="仿宋_GB2312"/>
          <w:sz w:val="32"/>
          <w:szCs w:val="32"/>
        </w:rPr>
        <w:t>研究生学位论文盲审平均分在85分以上或所有盲审专家的等级评定均为“高水平硕士论文”，可不做发表创新成果的要求。</w:t>
      </w:r>
    </w:p>
    <w:p w14:paraId="65E3E89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eastAsia="黑体"/>
          <w:sz w:val="32"/>
          <w:szCs w:val="32"/>
        </w:rPr>
      </w:pPr>
      <w:r>
        <w:rPr>
          <w:rFonts w:eastAsia="黑体"/>
          <w:sz w:val="32"/>
          <w:szCs w:val="32"/>
        </w:rPr>
        <w:t>第三章 审核程序和依据</w:t>
      </w:r>
    </w:p>
    <w:p w14:paraId="7927F082">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eastAsia="仿宋_GB2312"/>
          <w:sz w:val="32"/>
          <w:szCs w:val="32"/>
        </w:rPr>
      </w:pPr>
      <w:r>
        <w:rPr>
          <w:rFonts w:eastAsia="仿宋_GB2312"/>
          <w:b/>
          <w:bCs/>
          <w:sz w:val="32"/>
          <w:szCs w:val="32"/>
        </w:rPr>
        <w:t xml:space="preserve">第七条 </w:t>
      </w:r>
      <w:r>
        <w:rPr>
          <w:rFonts w:eastAsia="仿宋_GB2312"/>
          <w:sz w:val="32"/>
          <w:szCs w:val="32"/>
        </w:rPr>
        <w:t>研究生在硕士学位申请资格审查前，将相关材料的原件提交至所在学院（系）审核，审核结果报研究生部备案。</w:t>
      </w:r>
    </w:p>
    <w:p w14:paraId="6D5CF65F">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eastAsia="仿宋_GB2312"/>
          <w:sz w:val="32"/>
          <w:szCs w:val="32"/>
        </w:rPr>
      </w:pPr>
      <w:r>
        <w:rPr>
          <w:rFonts w:eastAsia="仿宋_GB2312"/>
          <w:b/>
          <w:bCs/>
          <w:sz w:val="32"/>
          <w:szCs w:val="32"/>
        </w:rPr>
        <w:t xml:space="preserve">第八条 </w:t>
      </w:r>
      <w:r>
        <w:rPr>
          <w:rFonts w:eastAsia="仿宋_GB2312"/>
          <w:sz w:val="32"/>
          <w:szCs w:val="32"/>
        </w:rPr>
        <w:t>对特殊科研成果，须经学校学术委员会审核认定，并报研究生部备案。</w:t>
      </w:r>
    </w:p>
    <w:p w14:paraId="03E4FA25">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eastAsia="仿宋_GB2312"/>
          <w:sz w:val="32"/>
          <w:szCs w:val="32"/>
        </w:rPr>
      </w:pPr>
      <w:r>
        <w:rPr>
          <w:rFonts w:eastAsia="仿宋_GB2312"/>
          <w:b/>
          <w:bCs/>
          <w:sz w:val="32"/>
          <w:szCs w:val="32"/>
        </w:rPr>
        <w:t>第九条</w:t>
      </w:r>
      <w:r>
        <w:rPr>
          <w:rFonts w:eastAsia="仿宋_GB2312"/>
          <w:sz w:val="32"/>
          <w:szCs w:val="32"/>
        </w:rPr>
        <w:t xml:space="preserve"> 如研究生在硕士学位申请资格审查时只提交编辑部出具的论文正式录用通知，则须含有拟安排发表的年份月份或卷期号等信息；在线发表或已有论文DOI号等证明材料的论文，可按已发表对待。</w:t>
      </w:r>
    </w:p>
    <w:p w14:paraId="211C43AC">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eastAsia="仿宋_GB2312"/>
          <w:sz w:val="32"/>
          <w:szCs w:val="32"/>
        </w:rPr>
      </w:pPr>
      <w:r>
        <w:rPr>
          <w:rFonts w:eastAsia="仿宋_GB2312"/>
          <w:b/>
          <w:bCs/>
          <w:sz w:val="32"/>
          <w:szCs w:val="32"/>
        </w:rPr>
        <w:t>第十条</w:t>
      </w:r>
      <w:r>
        <w:rPr>
          <w:rFonts w:eastAsia="仿宋_GB2312"/>
          <w:sz w:val="32"/>
          <w:szCs w:val="32"/>
        </w:rPr>
        <w:t xml:space="preserve"> 对在硕士学位申请资格审查前不满足论文发表基本要求、但满足毕业条件的研究生，可允许其参加学位论文答辩，其学位论文答辩通过后，可颁发其毕业证，各院（系）学位评定分委员会和学校学位评定委员会暂不受理其硕士学位授予申请。在其通过学位论文答辩后一年内，满足发表学术论文基本要求的，可由本人申请审议授予其硕士学位；在其通过学位论文答辩后一年内，没有满足发表学术论文基本要求的，视为自动放弃其学位申请。</w:t>
      </w:r>
    </w:p>
    <w:p w14:paraId="7887443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eastAsia="黑体"/>
          <w:sz w:val="32"/>
          <w:szCs w:val="32"/>
        </w:rPr>
      </w:pPr>
      <w:r>
        <w:rPr>
          <w:rFonts w:eastAsia="黑体"/>
          <w:sz w:val="32"/>
          <w:szCs w:val="32"/>
        </w:rPr>
        <w:t>第四章 附则</w:t>
      </w:r>
    </w:p>
    <w:p w14:paraId="39C519E4">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eastAsia="仿宋_GB2312"/>
          <w:sz w:val="32"/>
          <w:szCs w:val="32"/>
        </w:rPr>
      </w:pPr>
      <w:r>
        <w:rPr>
          <w:rFonts w:eastAsia="仿宋_GB2312"/>
          <w:b/>
          <w:bCs/>
          <w:sz w:val="32"/>
          <w:szCs w:val="32"/>
        </w:rPr>
        <w:t xml:space="preserve">第十一条 </w:t>
      </w:r>
      <w:r>
        <w:rPr>
          <w:rFonts w:eastAsia="仿宋_GB2312"/>
          <w:sz w:val="32"/>
          <w:szCs w:val="32"/>
        </w:rPr>
        <w:t>本规定自2025年9月1日起执行。原《河北建筑工程学院关于硕士研究生在学期间发表学术论文的规定》校政〔2020〕53号同时废止。</w:t>
      </w:r>
    </w:p>
    <w:p w14:paraId="17A8C58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黑体" w:hAnsi="黑体" w:eastAsia="黑体" w:cs="黑体"/>
          <w:sz w:val="32"/>
          <w:szCs w:val="32"/>
          <w:lang w:val="en-US" w:eastAsia="zh-CN"/>
        </w:rPr>
      </w:pPr>
      <w:r>
        <w:rPr>
          <w:rFonts w:eastAsia="仿宋_GB2312"/>
          <w:b/>
          <w:bCs/>
          <w:sz w:val="32"/>
          <w:szCs w:val="32"/>
        </w:rPr>
        <w:t xml:space="preserve">第十二条 </w:t>
      </w:r>
      <w:r>
        <w:rPr>
          <w:rFonts w:eastAsia="仿宋_GB2312"/>
          <w:sz w:val="32"/>
          <w:szCs w:val="32"/>
        </w:rPr>
        <w:t>本规定由研究生部负责解释。</w:t>
      </w:r>
    </w:p>
    <w:p w14:paraId="179CC276">
      <w:pPr>
        <w:rPr>
          <w:rFonts w:hint="eastAsia"/>
          <w:szCs w:val="21"/>
        </w:rPr>
      </w:pPr>
    </w:p>
    <w:p w14:paraId="0BF71273"/>
    <w:p w14:paraId="49358B1D"/>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C82F8">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13F308">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path/>
              <v:fill on="f" focussize="0,0"/>
              <v:stroke on="f"/>
              <v:imagedata o:title=""/>
              <o:lock v:ext="edit" aspectratio="f"/>
              <v:textbox inset="0mm,0mm,0mm,0mm" style="mso-fit-shape-to-text:t;">
                <w:txbxContent>
                  <w:p w14:paraId="7F13F308">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ED2369"/>
    <w:rsid w:val="04ED2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2025-06-16T03:39:00Z</dcterms:created>
  <dc:creator>aa</dc:creator>
  <cp:lastModifiedBy>aa</cp:lastModifiedBy>
  <dcterms:modified xsi:type="dcterms:W3CDTF">2025-06-16T03:39:42Z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066EB0C60D93466FACA639148CD31FC5_11</vt:lpwstr>
  </property>
  <property fmtid="{D5CDD505-2E9C-101B-9397-08002B2CF9AE}" pid="4" name="KSOTemplateDocerSaveRecord">
    <vt:lpwstr>eyJoZGlkIjoiOGY4ODMwOWI2ZDE2OWVjY2Y4YWZhZDdhYzI3MTc2NzUifQ==</vt:lpwstr>
  </property>
</Properties>
</file>