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147D4">
      <w:pPr>
        <w:jc w:val="center"/>
        <w:rPr>
          <w:rFonts w:hint="default" w:eastAsia="宋体"/>
          <w:b/>
          <w:color w:val="FF0000"/>
          <w:sz w:val="44"/>
          <w:szCs w:val="44"/>
          <w:lang w:val="en-US" w:eastAsia="zh-CN"/>
        </w:rPr>
      </w:pPr>
    </w:p>
    <w:p w14:paraId="1368D2FF">
      <w:pPr>
        <w:jc w:val="center"/>
        <w:rPr>
          <w:rFonts w:hint="default" w:eastAsia="宋体"/>
          <w:b/>
          <w:color w:val="FF0000"/>
          <w:sz w:val="44"/>
          <w:szCs w:val="44"/>
          <w:lang w:val="en-US" w:eastAsia="zh-CN"/>
        </w:rPr>
      </w:pPr>
    </w:p>
    <w:p w14:paraId="28A1A478">
      <w:pPr>
        <w:jc w:val="center"/>
        <w:rPr>
          <w:rFonts w:hint="default" w:eastAsia="宋体"/>
          <w:b/>
          <w:color w:val="FF0000"/>
          <w:sz w:val="44"/>
          <w:szCs w:val="44"/>
          <w:lang w:val="en-US" w:eastAsia="zh-CN"/>
        </w:rPr>
      </w:pPr>
    </w:p>
    <w:p w14:paraId="77CD4914">
      <w:pPr>
        <w:jc w:val="center"/>
        <w:rPr>
          <w:rFonts w:hint="default" w:eastAsia="宋体"/>
          <w:b/>
          <w:color w:val="FF0000"/>
          <w:sz w:val="44"/>
          <w:szCs w:val="44"/>
          <w:lang w:val="en-US" w:eastAsia="zh-CN"/>
        </w:rPr>
      </w:pPr>
    </w:p>
    <w:p w14:paraId="3B1EE937">
      <w:pPr>
        <w:jc w:val="center"/>
        <w:rPr>
          <w:rFonts w:hint="default" w:eastAsia="宋体"/>
          <w:b/>
          <w:color w:val="FF0000"/>
          <w:sz w:val="44"/>
          <w:szCs w:val="44"/>
          <w:lang w:val="en-US" w:eastAsia="zh-CN"/>
        </w:rPr>
      </w:pPr>
    </w:p>
    <w:p w14:paraId="1D4B34AC">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4773D0FB">
      <w:pPr>
        <w:ind w:firstLine="270" w:firstLineChars="100"/>
        <w:jc w:val="both"/>
        <w:rPr>
          <w:rFonts w:hint="eastAsia" w:ascii="宋体" w:hAnsi="宋体"/>
          <w:color w:val="000000"/>
          <w:sz w:val="27"/>
          <w:szCs w:val="27"/>
        </w:rPr>
      </w:pPr>
    </w:p>
    <w:p w14:paraId="3C21F0DA">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79</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0E0C608C">
      <w:pPr>
        <w:jc w:val="both"/>
      </w:pPr>
    </w:p>
    <w:p w14:paraId="0B4243B8">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23"/>
          <w:sz w:val="44"/>
          <w:szCs w:val="44"/>
          <w:lang w:val="en-US" w:eastAsia="zh-CN"/>
        </w:rPr>
      </w:pPr>
      <w:r>
        <w:rPr>
          <w:rFonts w:hint="eastAsia" w:ascii="宋体" w:hAnsi="宋体"/>
          <w:b/>
          <w:bCs/>
          <w:spacing w:val="-23"/>
          <w:sz w:val="44"/>
          <w:szCs w:val="44"/>
          <w:lang w:val="en-US" w:eastAsia="zh-CN"/>
        </w:rPr>
        <w:t>关于印发《河北建筑工程学院</w:t>
      </w:r>
    </w:p>
    <w:p w14:paraId="3630C82C">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23"/>
          <w:sz w:val="44"/>
          <w:szCs w:val="44"/>
          <w:lang w:val="en-US" w:eastAsia="zh-CN"/>
        </w:rPr>
      </w:pPr>
      <w:r>
        <w:rPr>
          <w:rFonts w:hint="eastAsia" w:ascii="宋体" w:hAnsi="宋体"/>
          <w:b/>
          <w:bCs/>
          <w:spacing w:val="-23"/>
          <w:sz w:val="44"/>
          <w:szCs w:val="44"/>
          <w:lang w:val="en-US" w:eastAsia="zh-CN"/>
        </w:rPr>
        <w:t>教学改革研究与实践成果计算办法（修订）》的通 知</w:t>
      </w:r>
    </w:p>
    <w:p w14:paraId="768C93B6">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23"/>
          <w:sz w:val="44"/>
          <w:szCs w:val="44"/>
          <w:lang w:val="en-US" w:eastAsia="zh-CN"/>
        </w:rPr>
      </w:pPr>
    </w:p>
    <w:p w14:paraId="1EF621E8">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010ED08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为加快建设高质量教育体系，鼓励我校教师积极投身教学改革研究与实践，促进教育教学管理，提高教学水平，提升教学质量，规范教学改革研究与实践成果的核算，特制定此办法，特</w:t>
      </w:r>
      <w:r>
        <w:rPr>
          <w:rFonts w:hint="eastAsia" w:ascii="仿宋" w:hAnsi="仿宋" w:eastAsia="仿宋" w:cs="仿宋"/>
          <w:sz w:val="32"/>
          <w:szCs w:val="32"/>
          <w:lang w:val="en-US" w:eastAsia="zh-CN"/>
        </w:rPr>
        <w:t>对</w:t>
      </w:r>
      <w:r>
        <w:rPr>
          <w:rFonts w:hint="eastAsia" w:ascii="仿宋" w:hAnsi="仿宋" w:eastAsia="仿宋" w:cs="仿宋"/>
          <w:sz w:val="32"/>
          <w:szCs w:val="32"/>
          <w:lang w:eastAsia="zh-CN"/>
        </w:rPr>
        <w:t>《河北建筑工程学院教学改革研究与实践成果计算办法》</w:t>
      </w:r>
      <w:r>
        <w:rPr>
          <w:rFonts w:hint="eastAsia" w:ascii="仿宋" w:hAnsi="仿宋" w:eastAsia="仿宋" w:cs="仿宋"/>
          <w:sz w:val="32"/>
          <w:szCs w:val="32"/>
          <w:lang w:val="en-US" w:eastAsia="zh-CN"/>
        </w:rPr>
        <w:t>进行修订</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现印发给你们，请遵照执行。</w:t>
      </w:r>
    </w:p>
    <w:p w14:paraId="47A3E52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pacing w:val="-28"/>
          <w:sz w:val="32"/>
          <w:szCs w:val="32"/>
          <w:lang w:val="en-US" w:eastAsia="zh-CN"/>
        </w:rPr>
      </w:pPr>
      <w:r>
        <w:rPr>
          <w:rFonts w:hint="eastAsia" w:ascii="仿宋" w:hAnsi="仿宋" w:eastAsia="仿宋" w:cs="仿宋"/>
          <w:sz w:val="32"/>
          <w:szCs w:val="32"/>
          <w:lang w:val="en-US" w:eastAsia="zh-CN"/>
        </w:rPr>
        <w:t>附件：1.</w:t>
      </w:r>
      <w:r>
        <w:rPr>
          <w:rFonts w:hint="eastAsia" w:ascii="仿宋" w:hAnsi="仿宋" w:eastAsia="仿宋" w:cs="仿宋"/>
          <w:spacing w:val="-28"/>
          <w:sz w:val="32"/>
          <w:szCs w:val="32"/>
          <w:lang w:val="en-US" w:eastAsia="zh-CN"/>
        </w:rPr>
        <w:t>河北建筑工程学院教学改革研究与实践成果计算办法</w:t>
      </w:r>
    </w:p>
    <w:p w14:paraId="09977B54">
      <w:pPr>
        <w:keepNext w:val="0"/>
        <w:keepLines w:val="0"/>
        <w:pageBreakBefore w:val="0"/>
        <w:widowControl w:val="0"/>
        <w:kinsoku/>
        <w:wordWrap/>
        <w:overflowPunct/>
        <w:topLinePunct w:val="0"/>
        <w:autoSpaceDE/>
        <w:autoSpaceDN/>
        <w:bidi w:val="0"/>
        <w:adjustRightInd/>
        <w:snapToGrid/>
        <w:spacing w:line="560" w:lineRule="exact"/>
        <w:ind w:firstLine="1584" w:firstLineChars="600"/>
        <w:jc w:val="both"/>
        <w:textAlignment w:val="auto"/>
        <w:rPr>
          <w:rFonts w:hint="default" w:ascii="仿宋" w:hAnsi="仿宋" w:eastAsia="仿宋" w:cs="仿宋"/>
          <w:spacing w:val="-28"/>
          <w:sz w:val="32"/>
          <w:szCs w:val="32"/>
          <w:lang w:val="en-US" w:eastAsia="zh-CN"/>
        </w:rPr>
      </w:pPr>
      <w:r>
        <w:rPr>
          <w:rFonts w:hint="eastAsia" w:ascii="仿宋" w:hAnsi="仿宋" w:eastAsia="仿宋" w:cs="仿宋"/>
          <w:spacing w:val="-28"/>
          <w:sz w:val="32"/>
          <w:szCs w:val="32"/>
          <w:lang w:val="en-US" w:eastAsia="zh-CN"/>
        </w:rPr>
        <w:t>2.各类教学改革研究与实践成果计算标准</w:t>
      </w:r>
    </w:p>
    <w:p w14:paraId="05E9D057">
      <w:pPr>
        <w:keepNext w:val="0"/>
        <w:keepLines w:val="0"/>
        <w:pageBreakBefore w:val="0"/>
        <w:widowControl w:val="0"/>
        <w:kinsoku/>
        <w:wordWrap w:val="0"/>
        <w:overflowPunct/>
        <w:topLinePunct w:val="0"/>
        <w:autoSpaceDE/>
        <w:autoSpaceDN/>
        <w:bidi w:val="0"/>
        <w:adjustRightInd/>
        <w:snapToGrid/>
        <w:spacing w:before="313" w:beforeLines="100" w:after="469" w:afterLines="150" w:line="600" w:lineRule="exact"/>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2025年7月18日  </w:t>
      </w:r>
    </w:p>
    <w:p w14:paraId="46493A94">
      <w:pPr>
        <w:pBdr>
          <w:top w:val="single" w:color="auto" w:sz="4" w:space="1"/>
          <w:bottom w:val="single" w:color="auto" w:sz="4" w:space="1"/>
        </w:pBdr>
        <w:spacing w:line="400" w:lineRule="exact"/>
        <w:jc w:val="center"/>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7</w:t>
      </w:r>
      <w:r>
        <w:rPr>
          <w:rFonts w:hint="eastAsia" w:ascii="仿宋" w:hAnsi="仿宋" w:eastAsia="仿宋" w:cs="仿宋"/>
          <w:sz w:val="28"/>
          <w:szCs w:val="28"/>
        </w:rPr>
        <w:t>月</w:t>
      </w:r>
      <w:r>
        <w:rPr>
          <w:rFonts w:hint="eastAsia" w:ascii="仿宋" w:hAnsi="仿宋" w:eastAsia="仿宋" w:cs="仿宋"/>
          <w:sz w:val="28"/>
          <w:szCs w:val="28"/>
          <w:lang w:val="en-US" w:eastAsia="zh-CN"/>
        </w:rPr>
        <w:t>18</w:t>
      </w:r>
      <w:r>
        <w:rPr>
          <w:rFonts w:hint="eastAsia" w:ascii="仿宋" w:hAnsi="仿宋" w:eastAsia="仿宋" w:cs="仿宋"/>
          <w:sz w:val="28"/>
          <w:szCs w:val="28"/>
        </w:rPr>
        <w:t>日印发</w:t>
      </w:r>
    </w:p>
    <w:p w14:paraId="12550D48">
      <w:pPr>
        <w:keepNext w:val="0"/>
        <w:keepLines w:val="0"/>
        <w:pageBreakBefore w:val="0"/>
        <w:widowControl w:val="0"/>
        <w:kinsoku/>
        <w:wordWrap/>
        <w:overflowPunct/>
        <w:topLinePunct w:val="0"/>
        <w:autoSpaceDE/>
        <w:autoSpaceDN/>
        <w:bidi w:val="0"/>
        <w:adjustRightInd/>
        <w:snapToGrid/>
        <w:jc w:val="left"/>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附件1</w:t>
      </w:r>
    </w:p>
    <w:p w14:paraId="362FF26A">
      <w:pPr>
        <w:keepNext w:val="0"/>
        <w:keepLines w:val="0"/>
        <w:pageBreakBefore w:val="0"/>
        <w:widowControl w:val="0"/>
        <w:kinsoku/>
        <w:wordWrap/>
        <w:overflowPunct/>
        <w:topLinePunct w:val="0"/>
        <w:autoSpaceDE/>
        <w:autoSpaceDN/>
        <w:bidi w:val="0"/>
        <w:adjustRightInd/>
        <w:snapToGrid/>
        <w:jc w:val="left"/>
        <w:textAlignment w:val="auto"/>
        <w:rPr>
          <w:rFonts w:hint="eastAsia" w:ascii="黑体" w:hAnsi="黑体" w:eastAsia="黑体" w:cs="黑体"/>
          <w:sz w:val="32"/>
          <w:szCs w:val="32"/>
          <w:lang w:val="en-US" w:eastAsia="zh-CN"/>
        </w:rPr>
      </w:pPr>
    </w:p>
    <w:p w14:paraId="242E3A2E">
      <w:pPr>
        <w:jc w:val="center"/>
        <w:rPr>
          <w:rFonts w:hint="eastAsia" w:ascii="宋体" w:hAnsi="宋体" w:eastAsia="宋体" w:cs="宋体"/>
          <w:b/>
          <w:spacing w:val="-11"/>
          <w:sz w:val="36"/>
          <w:szCs w:val="36"/>
          <w:lang w:val="en-US" w:eastAsia="zh-CN"/>
        </w:rPr>
      </w:pPr>
      <w:r>
        <w:rPr>
          <w:rFonts w:hint="eastAsia" w:ascii="宋体" w:hAnsi="宋体" w:eastAsia="宋体" w:cs="宋体"/>
          <w:b/>
          <w:spacing w:val="-11"/>
          <w:sz w:val="44"/>
          <w:szCs w:val="44"/>
          <w:lang w:val="en-US" w:eastAsia="zh-CN"/>
        </w:rPr>
        <w:t>河北建筑工程学院教学改革研究与实践成果计算办法</w:t>
      </w:r>
    </w:p>
    <w:p w14:paraId="7A51CBB2">
      <w:pPr>
        <w:keepNext w:val="0"/>
        <w:keepLines w:val="0"/>
        <w:pageBreakBefore w:val="0"/>
        <w:widowControl w:val="0"/>
        <w:kinsoku/>
        <w:wordWrap/>
        <w:overflowPunct/>
        <w:topLinePunct w:val="0"/>
        <w:autoSpaceDE/>
        <w:autoSpaceDN/>
        <w:bidi w:val="0"/>
        <w:adjustRightInd/>
        <w:snapToGrid/>
        <w:spacing w:line="620" w:lineRule="exact"/>
        <w:ind w:firstLine="560"/>
        <w:jc w:val="center"/>
        <w:textAlignment w:val="auto"/>
        <w:rPr>
          <w:rFonts w:hint="eastAsia" w:ascii="黑体" w:hAnsi="黑体" w:eastAsia="黑体" w:cs="黑体"/>
          <w:sz w:val="32"/>
          <w:szCs w:val="32"/>
          <w:lang w:eastAsia="zh-CN"/>
        </w:rPr>
      </w:pPr>
    </w:p>
    <w:p w14:paraId="1D1C9B20">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仿宋" w:hAnsi="仿宋" w:eastAsia="仿宋" w:cs="仿宋"/>
          <w:sz w:val="32"/>
          <w:szCs w:val="32"/>
        </w:rPr>
        <w:t>深入贯彻习近平新时代中国特色社会主义思想，坚持以人民为中心发展教育，加快建设高质量教育体系，鼓励我校教师积极投身教学改革研究与实践，促进教育教学管理，提高教学水平，提升教学质量，规范教学改革研究与实践成果的</w:t>
      </w:r>
      <w:r>
        <w:rPr>
          <w:rFonts w:hint="eastAsia" w:ascii="仿宋" w:hAnsi="仿宋" w:eastAsia="仿宋" w:cs="仿宋"/>
          <w:sz w:val="32"/>
          <w:szCs w:val="32"/>
          <w:lang w:eastAsia="zh-CN"/>
        </w:rPr>
        <w:t>核算</w:t>
      </w:r>
      <w:r>
        <w:rPr>
          <w:rFonts w:hint="eastAsia" w:ascii="仿宋" w:hAnsi="仿宋" w:eastAsia="仿宋" w:cs="仿宋"/>
          <w:sz w:val="32"/>
          <w:szCs w:val="32"/>
        </w:rPr>
        <w:t>，特制定此办法。</w:t>
      </w:r>
    </w:p>
    <w:p w14:paraId="3DAC0065">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第一章  总  则</w:t>
      </w:r>
    </w:p>
    <w:p w14:paraId="5CC9F25F">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楷体" w:hAnsi="楷体" w:eastAsia="楷体" w:cs="楷体"/>
          <w:sz w:val="32"/>
          <w:szCs w:val="32"/>
        </w:rPr>
        <w:t xml:space="preserve">第一条 </w:t>
      </w:r>
      <w:r>
        <w:rPr>
          <w:rFonts w:hint="eastAsia" w:ascii="仿宋" w:hAnsi="仿宋" w:eastAsia="仿宋" w:cs="仿宋"/>
          <w:sz w:val="32"/>
          <w:szCs w:val="32"/>
        </w:rPr>
        <w:t xml:space="preserve"> 以习近平新时代中国特色社会主义思想为指引，坚持教学中心地位，以高</w:t>
      </w:r>
      <w:r>
        <w:rPr>
          <w:rFonts w:hint="eastAsia" w:ascii="仿宋" w:hAnsi="仿宋" w:eastAsia="仿宋" w:cs="仿宋"/>
          <w:sz w:val="32"/>
          <w:szCs w:val="32"/>
          <w:lang w:eastAsia="zh-CN"/>
        </w:rPr>
        <w:t>标准</w:t>
      </w:r>
      <w:r>
        <w:rPr>
          <w:rFonts w:hint="eastAsia" w:ascii="仿宋" w:hAnsi="仿宋" w:eastAsia="仿宋" w:cs="仿宋"/>
          <w:sz w:val="32"/>
          <w:szCs w:val="32"/>
        </w:rPr>
        <w:t>的教学改革研究与实践促进教学水平的不断提升。</w:t>
      </w:r>
    </w:p>
    <w:p w14:paraId="7CDD01C0">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楷体" w:hAnsi="楷体" w:eastAsia="楷体" w:cs="楷体"/>
          <w:sz w:val="32"/>
          <w:szCs w:val="32"/>
        </w:rPr>
        <w:t>第二条</w:t>
      </w:r>
      <w:r>
        <w:rPr>
          <w:rFonts w:hint="eastAsia" w:ascii="仿宋" w:hAnsi="仿宋" w:eastAsia="仿宋" w:cs="仿宋"/>
          <w:sz w:val="32"/>
          <w:szCs w:val="32"/>
        </w:rPr>
        <w:t xml:space="preserve">  教研成果</w:t>
      </w:r>
      <w:r>
        <w:rPr>
          <w:rFonts w:hint="eastAsia" w:ascii="仿宋" w:hAnsi="仿宋" w:eastAsia="仿宋" w:cs="仿宋"/>
          <w:sz w:val="32"/>
          <w:szCs w:val="32"/>
          <w:lang w:eastAsia="zh-CN"/>
        </w:rPr>
        <w:t>的核算</w:t>
      </w:r>
      <w:r>
        <w:rPr>
          <w:rFonts w:hint="eastAsia" w:ascii="仿宋" w:hAnsi="仿宋" w:eastAsia="仿宋" w:cs="仿宋"/>
          <w:sz w:val="32"/>
          <w:szCs w:val="32"/>
        </w:rPr>
        <w:t>要坚持公开公平公正的原则，以突出质量和鼓励创新为引导，积极发挥政策导向作用，不断推进学校教学改革研究与工作</w:t>
      </w:r>
      <w:r>
        <w:rPr>
          <w:rFonts w:hint="eastAsia" w:ascii="仿宋" w:hAnsi="仿宋" w:eastAsia="仿宋" w:cs="仿宋"/>
          <w:sz w:val="32"/>
          <w:szCs w:val="32"/>
          <w:lang w:eastAsia="zh-CN"/>
        </w:rPr>
        <w:t>的高质量发展</w:t>
      </w:r>
      <w:r>
        <w:rPr>
          <w:rFonts w:hint="eastAsia" w:ascii="仿宋" w:hAnsi="仿宋" w:eastAsia="仿宋" w:cs="仿宋"/>
          <w:sz w:val="32"/>
          <w:szCs w:val="32"/>
        </w:rPr>
        <w:t>。</w:t>
      </w:r>
    </w:p>
    <w:p w14:paraId="186EACFF">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 xml:space="preserve">第二章  </w:t>
      </w:r>
      <w:r>
        <w:rPr>
          <w:rFonts w:hint="eastAsia" w:ascii="黑体" w:hAnsi="黑体" w:eastAsia="黑体" w:cs="黑体"/>
          <w:b w:val="0"/>
          <w:bCs w:val="0"/>
          <w:sz w:val="32"/>
          <w:szCs w:val="32"/>
          <w:lang w:eastAsia="zh-CN"/>
        </w:rPr>
        <w:t>计算</w:t>
      </w:r>
      <w:r>
        <w:rPr>
          <w:rFonts w:hint="eastAsia" w:ascii="黑体" w:hAnsi="黑体" w:eastAsia="黑体" w:cs="黑体"/>
          <w:b w:val="0"/>
          <w:bCs w:val="0"/>
          <w:sz w:val="32"/>
          <w:szCs w:val="32"/>
        </w:rPr>
        <w:t>范围</w:t>
      </w:r>
    </w:p>
    <w:p w14:paraId="6EE9588E">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楷体" w:hAnsi="楷体" w:eastAsia="楷体" w:cs="楷体"/>
          <w:sz w:val="32"/>
          <w:szCs w:val="32"/>
        </w:rPr>
        <w:t>第三条</w:t>
      </w:r>
      <w:r>
        <w:rPr>
          <w:rFonts w:hint="eastAsia" w:ascii="仿宋" w:hAnsi="仿宋" w:eastAsia="仿宋" w:cs="仿宋"/>
          <w:sz w:val="32"/>
          <w:szCs w:val="32"/>
        </w:rPr>
        <w:t xml:space="preserve">  本办法仅对署名“河北建筑工程学院（Hebei University</w:t>
      </w:r>
      <w:r>
        <w:rPr>
          <w:rFonts w:hint="eastAsia" w:ascii="仿宋" w:hAnsi="仿宋" w:eastAsia="仿宋" w:cs="仿宋"/>
          <w:sz w:val="32"/>
          <w:szCs w:val="32"/>
          <w:lang w:val="en-US" w:eastAsia="zh-CN"/>
        </w:rPr>
        <w:t xml:space="preserve"> of </w:t>
      </w:r>
      <w:r>
        <w:rPr>
          <w:rFonts w:hint="eastAsia" w:ascii="仿宋" w:hAnsi="仿宋" w:eastAsia="仿宋" w:cs="仿宋"/>
          <w:sz w:val="32"/>
          <w:szCs w:val="32"/>
        </w:rPr>
        <w:t xml:space="preserve"> Architecture）”的教学改革研究与</w:t>
      </w:r>
      <w:r>
        <w:rPr>
          <w:rFonts w:hint="eastAsia" w:ascii="仿宋" w:hAnsi="仿宋" w:eastAsia="仿宋" w:cs="仿宋"/>
          <w:sz w:val="32"/>
          <w:szCs w:val="32"/>
          <w:lang w:eastAsia="zh-CN"/>
        </w:rPr>
        <w:t>实践</w:t>
      </w:r>
      <w:r>
        <w:rPr>
          <w:rFonts w:hint="eastAsia" w:ascii="仿宋" w:hAnsi="仿宋" w:eastAsia="仿宋" w:cs="仿宋"/>
          <w:sz w:val="32"/>
          <w:szCs w:val="32"/>
        </w:rPr>
        <w:t>成果进行</w:t>
      </w:r>
      <w:r>
        <w:rPr>
          <w:rFonts w:hint="eastAsia" w:ascii="仿宋" w:hAnsi="仿宋" w:eastAsia="仿宋" w:cs="仿宋"/>
          <w:sz w:val="32"/>
          <w:szCs w:val="32"/>
          <w:lang w:eastAsia="zh-CN"/>
        </w:rPr>
        <w:t>计算</w:t>
      </w:r>
      <w:r>
        <w:rPr>
          <w:rFonts w:hint="eastAsia" w:ascii="仿宋" w:hAnsi="仿宋" w:eastAsia="仿宋" w:cs="仿宋"/>
          <w:sz w:val="32"/>
          <w:szCs w:val="32"/>
        </w:rPr>
        <w:t>。</w:t>
      </w:r>
    </w:p>
    <w:p w14:paraId="7E7EBB65">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楷体" w:hAnsi="楷体" w:eastAsia="楷体" w:cs="楷体"/>
          <w:sz w:val="32"/>
          <w:szCs w:val="32"/>
        </w:rPr>
        <w:t>第四条</w:t>
      </w:r>
      <w:r>
        <w:rPr>
          <w:rFonts w:hint="eastAsia" w:ascii="仿宋" w:hAnsi="仿宋" w:eastAsia="仿宋" w:cs="仿宋"/>
          <w:sz w:val="32"/>
          <w:szCs w:val="32"/>
        </w:rPr>
        <w:t xml:space="preserve">  所有教研</w:t>
      </w:r>
      <w:r>
        <w:rPr>
          <w:rFonts w:hint="eastAsia" w:ascii="仿宋" w:hAnsi="仿宋" w:eastAsia="仿宋" w:cs="仿宋"/>
          <w:sz w:val="32"/>
          <w:szCs w:val="32"/>
          <w:lang w:eastAsia="zh-CN"/>
        </w:rPr>
        <w:t>成果</w:t>
      </w:r>
      <w:r>
        <w:rPr>
          <w:rFonts w:hint="eastAsia" w:ascii="仿宋" w:hAnsi="仿宋" w:eastAsia="仿宋" w:cs="仿宋"/>
          <w:sz w:val="32"/>
          <w:szCs w:val="32"/>
        </w:rPr>
        <w:t>均需发生在计算周期内（计算周期为：上一年9月1日至本年8月31日），特殊情况须经高等教育研究所审核认定，否则不予计算。因个人原因没有计入的教研成果不予跨年度计算。</w:t>
      </w:r>
    </w:p>
    <w:p w14:paraId="27D6E873">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第三章  成果分类</w:t>
      </w:r>
    </w:p>
    <w:p w14:paraId="3F141BA0">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楷体" w:hAnsi="楷体" w:eastAsia="楷体" w:cs="楷体"/>
          <w:sz w:val="32"/>
          <w:szCs w:val="32"/>
        </w:rPr>
        <w:t>第五条</w:t>
      </w:r>
      <w:r>
        <w:rPr>
          <w:rFonts w:hint="eastAsia" w:ascii="仿宋" w:hAnsi="仿宋" w:eastAsia="仿宋" w:cs="仿宋"/>
          <w:sz w:val="32"/>
          <w:szCs w:val="32"/>
        </w:rPr>
        <w:t xml:space="preserve">  本办法适用的教学改革研究与</w:t>
      </w:r>
      <w:r>
        <w:rPr>
          <w:rFonts w:hint="eastAsia" w:ascii="仿宋" w:hAnsi="仿宋" w:eastAsia="仿宋" w:cs="仿宋"/>
          <w:sz w:val="32"/>
          <w:szCs w:val="32"/>
          <w:lang w:eastAsia="zh-CN"/>
        </w:rPr>
        <w:t>实践</w:t>
      </w:r>
      <w:r>
        <w:rPr>
          <w:rFonts w:hint="eastAsia" w:ascii="仿宋" w:hAnsi="仿宋" w:eastAsia="仿宋" w:cs="仿宋"/>
          <w:sz w:val="32"/>
          <w:szCs w:val="32"/>
        </w:rPr>
        <w:t>成果包括：政府性教学成果奖（国家级、省部级）、高</w:t>
      </w:r>
      <w:r>
        <w:rPr>
          <w:rFonts w:hint="eastAsia" w:ascii="仿宋" w:hAnsi="仿宋" w:eastAsia="仿宋" w:cs="仿宋"/>
          <w:sz w:val="32"/>
          <w:szCs w:val="32"/>
          <w:lang w:eastAsia="zh-CN"/>
        </w:rPr>
        <w:t>级别</w:t>
      </w:r>
      <w:r>
        <w:rPr>
          <w:rFonts w:hint="eastAsia" w:ascii="仿宋" w:hAnsi="仿宋" w:eastAsia="仿宋" w:cs="仿宋"/>
          <w:sz w:val="32"/>
          <w:szCs w:val="32"/>
        </w:rPr>
        <w:t>教研教改项目（省部级及以上纵向教研指令计划项目、到账20万元（含）以上横向项目）、高水平</w:t>
      </w:r>
      <w:r>
        <w:rPr>
          <w:rFonts w:hint="eastAsia" w:ascii="仿宋" w:hAnsi="仿宋" w:eastAsia="仿宋" w:cs="仿宋"/>
          <w:sz w:val="32"/>
          <w:szCs w:val="32"/>
          <w:lang w:eastAsia="zh-CN"/>
        </w:rPr>
        <w:t>教研教改</w:t>
      </w:r>
      <w:r>
        <w:rPr>
          <w:rFonts w:hint="eastAsia" w:ascii="仿宋" w:hAnsi="仿宋" w:eastAsia="仿宋" w:cs="仿宋"/>
          <w:sz w:val="32"/>
          <w:szCs w:val="32"/>
        </w:rPr>
        <w:t>论文、教研著作、教育部规划教材</w:t>
      </w:r>
      <w:r>
        <w:rPr>
          <w:rFonts w:hint="eastAsia" w:ascii="仿宋" w:hAnsi="仿宋" w:eastAsia="仿宋" w:cs="仿宋"/>
          <w:sz w:val="32"/>
          <w:szCs w:val="32"/>
          <w:lang w:eastAsia="zh-CN"/>
        </w:rPr>
        <w:t>等</w:t>
      </w:r>
      <w:r>
        <w:rPr>
          <w:rFonts w:hint="eastAsia" w:ascii="仿宋" w:hAnsi="仿宋" w:eastAsia="仿宋" w:cs="仿宋"/>
          <w:sz w:val="32"/>
          <w:szCs w:val="32"/>
        </w:rPr>
        <w:t>。</w:t>
      </w:r>
    </w:p>
    <w:p w14:paraId="55CCF2EA">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第四章  成果认定</w:t>
      </w:r>
    </w:p>
    <w:p w14:paraId="62F3170F">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楷体" w:hAnsi="楷体" w:eastAsia="楷体" w:cs="楷体"/>
          <w:sz w:val="32"/>
          <w:szCs w:val="32"/>
        </w:rPr>
        <w:t xml:space="preserve">第六条 </w:t>
      </w:r>
      <w:r>
        <w:rPr>
          <w:rFonts w:hint="eastAsia" w:ascii="仿宋" w:hAnsi="仿宋" w:eastAsia="仿宋" w:cs="仿宋"/>
          <w:sz w:val="32"/>
          <w:szCs w:val="32"/>
        </w:rPr>
        <w:t xml:space="preserve"> 政府性教学成果奖第一单位为我校时按照100%计算，我校作为参与单位时按照排名的倒数计算。政府性教学成果奖的认定，以最终公开的正式文件和获奖证书为准。</w:t>
      </w:r>
    </w:p>
    <w:p w14:paraId="4A372832">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仿宋" w:hAnsi="仿宋" w:eastAsia="仿宋" w:cs="仿宋"/>
          <w:sz w:val="32"/>
          <w:szCs w:val="32"/>
        </w:rPr>
        <w:t>1.政府性教学成果获奖包括国家教学成果奖以及省部级教学成果奖。</w:t>
      </w:r>
    </w:p>
    <w:p w14:paraId="5594A94C">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仿宋" w:hAnsi="仿宋" w:eastAsia="仿宋" w:cs="仿宋"/>
          <w:sz w:val="32"/>
          <w:szCs w:val="32"/>
        </w:rPr>
        <w:t>2.政府性教学成果奖需提供获奖证书等材料，获奖成员中一人进行申报。</w:t>
      </w:r>
    </w:p>
    <w:p w14:paraId="67E58FCC">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仿宋" w:hAnsi="仿宋" w:eastAsia="仿宋" w:cs="仿宋"/>
          <w:sz w:val="32"/>
          <w:szCs w:val="32"/>
        </w:rPr>
        <w:t>3.同一项目获得多个奖励时，只按最高等级奖励计算。</w:t>
      </w:r>
    </w:p>
    <w:p w14:paraId="04C751C8">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楷体" w:hAnsi="楷体" w:eastAsia="楷体" w:cs="楷体"/>
          <w:sz w:val="32"/>
          <w:szCs w:val="32"/>
        </w:rPr>
        <w:t>第七条</w:t>
      </w:r>
      <w:r>
        <w:rPr>
          <w:rFonts w:hint="eastAsia" w:ascii="仿宋" w:hAnsi="仿宋" w:eastAsia="仿宋" w:cs="仿宋"/>
          <w:sz w:val="32"/>
          <w:szCs w:val="32"/>
        </w:rPr>
        <w:t xml:space="preserve">  教学改革研究与</w:t>
      </w:r>
      <w:r>
        <w:rPr>
          <w:rFonts w:hint="eastAsia" w:ascii="仿宋" w:hAnsi="仿宋" w:eastAsia="仿宋" w:cs="仿宋"/>
          <w:sz w:val="32"/>
          <w:szCs w:val="32"/>
          <w:lang w:eastAsia="zh-CN"/>
        </w:rPr>
        <w:t>实践</w:t>
      </w:r>
      <w:r>
        <w:rPr>
          <w:rFonts w:hint="eastAsia" w:ascii="仿宋" w:hAnsi="仿宋" w:eastAsia="仿宋" w:cs="仿宋"/>
          <w:sz w:val="32"/>
          <w:szCs w:val="32"/>
        </w:rPr>
        <w:t>项目均应明确体现我校为承担单位，否则不予计算。我校</w:t>
      </w:r>
      <w:r>
        <w:rPr>
          <w:rFonts w:hint="eastAsia" w:ascii="仿宋" w:hAnsi="仿宋" w:eastAsia="仿宋" w:cs="仿宋"/>
          <w:sz w:val="32"/>
          <w:szCs w:val="32"/>
          <w:lang w:eastAsia="zh-CN"/>
        </w:rPr>
        <w:t>作为第一单位</w:t>
      </w:r>
      <w:r>
        <w:rPr>
          <w:rFonts w:hint="eastAsia" w:ascii="仿宋" w:hAnsi="仿宋" w:eastAsia="仿宋" w:cs="仿宋"/>
          <w:sz w:val="32"/>
          <w:szCs w:val="32"/>
        </w:rPr>
        <w:t>时按照100%计算，作为参与单位时按照排名的倒数计算。</w:t>
      </w:r>
    </w:p>
    <w:p w14:paraId="16E2299D">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仿宋" w:hAnsi="仿宋" w:eastAsia="仿宋" w:cs="仿宋"/>
          <w:sz w:val="32"/>
          <w:szCs w:val="32"/>
        </w:rPr>
        <w:t>1.省部级及以上的纵向教学改革研究与</w:t>
      </w:r>
      <w:r>
        <w:rPr>
          <w:rFonts w:hint="eastAsia" w:ascii="仿宋" w:hAnsi="仿宋" w:eastAsia="仿宋" w:cs="仿宋"/>
          <w:sz w:val="32"/>
          <w:szCs w:val="32"/>
          <w:lang w:eastAsia="zh-CN"/>
        </w:rPr>
        <w:t>实践</w:t>
      </w:r>
      <w:r>
        <w:rPr>
          <w:rFonts w:hint="eastAsia" w:ascii="仿宋" w:hAnsi="仿宋" w:eastAsia="仿宋" w:cs="仿宋"/>
          <w:sz w:val="32"/>
          <w:szCs w:val="32"/>
        </w:rPr>
        <w:t>项目是指教育部、省教育厅发布立项的研究项目（新工科、新文科、</w:t>
      </w:r>
      <w:r>
        <w:rPr>
          <w:rFonts w:hint="eastAsia" w:ascii="仿宋" w:hAnsi="仿宋" w:eastAsia="仿宋" w:cs="仿宋"/>
          <w:sz w:val="32"/>
          <w:szCs w:val="32"/>
          <w:lang w:eastAsia="zh-CN"/>
        </w:rPr>
        <w:t>教育科学规划课题、</w:t>
      </w:r>
      <w:r>
        <w:rPr>
          <w:rFonts w:hint="eastAsia" w:ascii="仿宋" w:hAnsi="仿宋" w:eastAsia="仿宋" w:cs="仿宋"/>
          <w:sz w:val="32"/>
          <w:szCs w:val="32"/>
        </w:rPr>
        <w:t>年度教改项目、</w:t>
      </w:r>
      <w:r>
        <w:rPr>
          <w:rFonts w:hint="eastAsia" w:ascii="仿宋" w:hAnsi="仿宋" w:eastAsia="仿宋" w:cs="仿宋"/>
          <w:sz w:val="32"/>
          <w:szCs w:val="32"/>
          <w:lang w:eastAsia="zh-CN"/>
        </w:rPr>
        <w:t>研究生教改项目、创新创业项目、各专项教研课题</w:t>
      </w:r>
      <w:r>
        <w:rPr>
          <w:rFonts w:hint="eastAsia" w:ascii="仿宋" w:hAnsi="仿宋" w:eastAsia="仿宋" w:cs="仿宋"/>
          <w:sz w:val="32"/>
          <w:szCs w:val="32"/>
        </w:rPr>
        <w:t>等）</w:t>
      </w:r>
      <w:r>
        <w:rPr>
          <w:rFonts w:hint="eastAsia" w:ascii="仿宋" w:hAnsi="仿宋" w:eastAsia="仿宋" w:cs="仿宋"/>
          <w:sz w:val="32"/>
          <w:szCs w:val="32"/>
          <w:lang w:eastAsia="zh-CN"/>
        </w:rPr>
        <w:t>，由主管部门拨付研究经费</w:t>
      </w:r>
      <w:r>
        <w:rPr>
          <w:rFonts w:hint="eastAsia" w:ascii="仿宋" w:hAnsi="仿宋" w:eastAsia="仿宋" w:cs="仿宋"/>
          <w:sz w:val="32"/>
          <w:szCs w:val="32"/>
        </w:rPr>
        <w:t>。各级学会、协会立项的项目不在奖励范围。</w:t>
      </w:r>
    </w:p>
    <w:p w14:paraId="460238BE">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仿宋" w:hAnsi="仿宋" w:eastAsia="仿宋" w:cs="仿宋"/>
          <w:sz w:val="32"/>
          <w:szCs w:val="32"/>
        </w:rPr>
        <w:t>2.横向教学改革研究与</w:t>
      </w:r>
      <w:r>
        <w:rPr>
          <w:rFonts w:hint="eastAsia" w:ascii="仿宋" w:hAnsi="仿宋" w:eastAsia="仿宋" w:cs="仿宋"/>
          <w:sz w:val="32"/>
          <w:szCs w:val="32"/>
          <w:lang w:eastAsia="zh-CN"/>
        </w:rPr>
        <w:t>实践</w:t>
      </w:r>
      <w:r>
        <w:rPr>
          <w:rFonts w:hint="eastAsia" w:ascii="仿宋" w:hAnsi="仿宋" w:eastAsia="仿宋" w:cs="仿宋"/>
          <w:sz w:val="32"/>
          <w:szCs w:val="32"/>
        </w:rPr>
        <w:t>项目是指经费来源为企业、其他高校等非政府部门的项目。</w:t>
      </w:r>
    </w:p>
    <w:p w14:paraId="55CF179E">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楷体" w:hAnsi="楷体" w:eastAsia="楷体" w:cs="楷体"/>
          <w:sz w:val="32"/>
          <w:szCs w:val="32"/>
        </w:rPr>
        <w:t>第八条</w:t>
      </w:r>
      <w:r>
        <w:rPr>
          <w:rFonts w:hint="eastAsia" w:ascii="仿宋" w:hAnsi="仿宋" w:eastAsia="仿宋" w:cs="仿宋"/>
          <w:sz w:val="32"/>
          <w:szCs w:val="32"/>
        </w:rPr>
        <w:t xml:space="preserve">  高水平教研论文必须是以“河北建筑工程学院（Hebei University</w:t>
      </w:r>
      <w:r>
        <w:rPr>
          <w:rFonts w:hint="eastAsia" w:ascii="仿宋" w:hAnsi="仿宋" w:eastAsia="仿宋" w:cs="仿宋"/>
          <w:sz w:val="32"/>
          <w:szCs w:val="32"/>
          <w:lang w:val="en-US" w:eastAsia="zh-CN"/>
        </w:rPr>
        <w:t xml:space="preserve"> of </w:t>
      </w:r>
      <w:r>
        <w:rPr>
          <w:rFonts w:hint="eastAsia" w:ascii="仿宋" w:hAnsi="仿宋" w:eastAsia="仿宋" w:cs="仿宋"/>
          <w:sz w:val="32"/>
          <w:szCs w:val="32"/>
        </w:rPr>
        <w:t>Architecture）”为署名单位，只计算我校教师为第一作者或通讯作者的论文，通讯作者按第一作者计，如果通讯作者与第一作者不为同一人且均为我校教职工时，只计第一作者。共同第一作者和共同通讯作者不予计算。学术论文成果的认定，均以最终公开的正式文件材料为准，论文一般以最终见刊为准。内刊、增刊及会议论文集不予计算。</w:t>
      </w:r>
    </w:p>
    <w:p w14:paraId="7B453CA0">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楷体" w:hAnsi="楷体" w:eastAsia="楷体" w:cs="楷体"/>
          <w:sz w:val="32"/>
          <w:szCs w:val="32"/>
        </w:rPr>
        <w:t>第九条</w:t>
      </w:r>
      <w:r>
        <w:rPr>
          <w:rFonts w:hint="eastAsia" w:ascii="仿宋" w:hAnsi="仿宋" w:eastAsia="仿宋" w:cs="仿宋"/>
          <w:sz w:val="32"/>
          <w:szCs w:val="32"/>
        </w:rPr>
        <w:t xml:space="preserve">  专著只计算我校教师为第一作者的著作，以国家新闻出版署国家版本数据中心查新的数据为准（详询网站：https://pdc.capub.cn/），</w:t>
      </w:r>
      <w:r>
        <w:rPr>
          <w:rFonts w:hint="eastAsia" w:ascii="仿宋" w:hAnsi="仿宋" w:eastAsia="仿宋" w:cs="仿宋"/>
          <w:sz w:val="32"/>
          <w:szCs w:val="32"/>
          <w:lang w:eastAsia="zh-CN"/>
        </w:rPr>
        <w:t>字数不少于</w:t>
      </w:r>
      <w:r>
        <w:rPr>
          <w:rFonts w:hint="eastAsia" w:ascii="仿宋" w:hAnsi="仿宋" w:eastAsia="仿宋" w:cs="仿宋"/>
          <w:sz w:val="32"/>
          <w:szCs w:val="32"/>
          <w:lang w:val="en-US" w:eastAsia="zh-CN"/>
        </w:rPr>
        <w:t>15万字，</w:t>
      </w:r>
      <w:r>
        <w:rPr>
          <w:rFonts w:hint="eastAsia" w:ascii="仿宋" w:hAnsi="仿宋" w:eastAsia="仿宋" w:cs="仿宋"/>
          <w:sz w:val="32"/>
          <w:szCs w:val="32"/>
        </w:rPr>
        <w:t>电子书及音像图书等电子出版物不计。</w:t>
      </w:r>
    </w:p>
    <w:p w14:paraId="68CA1F14">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楷体" w:hAnsi="楷体" w:eastAsia="楷体" w:cs="楷体"/>
          <w:sz w:val="32"/>
          <w:szCs w:val="32"/>
        </w:rPr>
        <w:t xml:space="preserve">第十条 </w:t>
      </w:r>
      <w:r>
        <w:rPr>
          <w:rFonts w:hint="eastAsia" w:ascii="仿宋" w:hAnsi="仿宋" w:eastAsia="仿宋" w:cs="仿宋"/>
          <w:sz w:val="32"/>
          <w:szCs w:val="32"/>
        </w:rPr>
        <w:t xml:space="preserve"> 教育部规划教材以教育部印发的普通高等教育本科国家级规划教材的立项通知为准，一般在教材封面、扉页等位置标注由教育部统一发布的“普通高等教育本科国家级规划教材”专用标志，且在使用期限内。</w:t>
      </w:r>
    </w:p>
    <w:p w14:paraId="11DA5552">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 xml:space="preserve">第五章  </w:t>
      </w:r>
      <w:r>
        <w:rPr>
          <w:rFonts w:hint="eastAsia" w:ascii="黑体" w:hAnsi="黑体" w:eastAsia="黑体" w:cs="黑体"/>
          <w:b w:val="0"/>
          <w:bCs w:val="0"/>
          <w:sz w:val="32"/>
          <w:szCs w:val="32"/>
          <w:lang w:eastAsia="zh-CN"/>
        </w:rPr>
        <w:t>计算</w:t>
      </w:r>
      <w:r>
        <w:rPr>
          <w:rFonts w:hint="eastAsia" w:ascii="黑体" w:hAnsi="黑体" w:eastAsia="黑体" w:cs="黑体"/>
          <w:b w:val="0"/>
          <w:bCs w:val="0"/>
          <w:sz w:val="32"/>
          <w:szCs w:val="32"/>
        </w:rPr>
        <w:t>标准</w:t>
      </w:r>
    </w:p>
    <w:p w14:paraId="3ED7F650">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楷体" w:hAnsi="楷体" w:eastAsia="楷体" w:cs="楷体"/>
          <w:sz w:val="32"/>
          <w:szCs w:val="32"/>
        </w:rPr>
        <w:t xml:space="preserve">第十一条 </w:t>
      </w:r>
      <w:r>
        <w:rPr>
          <w:rFonts w:hint="eastAsia" w:ascii="仿宋" w:hAnsi="仿宋" w:eastAsia="仿宋" w:cs="仿宋"/>
          <w:sz w:val="32"/>
          <w:szCs w:val="32"/>
        </w:rPr>
        <w:t xml:space="preserve"> </w:t>
      </w:r>
      <w:r>
        <w:rPr>
          <w:rFonts w:hint="eastAsia" w:ascii="仿宋" w:hAnsi="仿宋" w:eastAsia="仿宋" w:cs="仿宋"/>
          <w:sz w:val="32"/>
          <w:szCs w:val="32"/>
          <w:lang w:eastAsia="zh-CN"/>
        </w:rPr>
        <w:t>计算</w:t>
      </w:r>
      <w:r>
        <w:rPr>
          <w:rFonts w:hint="eastAsia" w:ascii="仿宋" w:hAnsi="仿宋" w:eastAsia="仿宋" w:cs="仿宋"/>
          <w:sz w:val="32"/>
          <w:szCs w:val="32"/>
        </w:rPr>
        <w:t>标准，详见附件1：各类教学改革研究与</w:t>
      </w:r>
      <w:r>
        <w:rPr>
          <w:rFonts w:hint="eastAsia" w:ascii="仿宋" w:hAnsi="仿宋" w:eastAsia="仿宋" w:cs="仿宋"/>
          <w:sz w:val="32"/>
          <w:szCs w:val="32"/>
          <w:lang w:eastAsia="zh-CN"/>
        </w:rPr>
        <w:t>实践</w:t>
      </w:r>
      <w:r>
        <w:rPr>
          <w:rFonts w:hint="eastAsia" w:ascii="仿宋" w:hAnsi="仿宋" w:eastAsia="仿宋" w:cs="仿宋"/>
          <w:sz w:val="32"/>
          <w:szCs w:val="32"/>
        </w:rPr>
        <w:t>成果</w:t>
      </w:r>
      <w:r>
        <w:rPr>
          <w:rFonts w:hint="eastAsia" w:ascii="仿宋" w:hAnsi="仿宋" w:eastAsia="仿宋" w:cs="仿宋"/>
          <w:sz w:val="32"/>
          <w:szCs w:val="32"/>
          <w:lang w:eastAsia="zh-CN"/>
        </w:rPr>
        <w:t>计算</w:t>
      </w:r>
      <w:r>
        <w:rPr>
          <w:rFonts w:hint="eastAsia" w:ascii="仿宋" w:hAnsi="仿宋" w:eastAsia="仿宋" w:cs="仿宋"/>
          <w:sz w:val="32"/>
          <w:szCs w:val="32"/>
        </w:rPr>
        <w:t>标准。</w:t>
      </w:r>
    </w:p>
    <w:p w14:paraId="2C0CF499">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第六章  附  则</w:t>
      </w:r>
    </w:p>
    <w:p w14:paraId="40F6E970">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楷体" w:hAnsi="楷体" w:eastAsia="楷体" w:cs="楷体"/>
          <w:sz w:val="32"/>
          <w:szCs w:val="32"/>
        </w:rPr>
        <w:t xml:space="preserve">第十二条  </w:t>
      </w:r>
      <w:r>
        <w:rPr>
          <w:rFonts w:hint="eastAsia" w:ascii="仿宋" w:hAnsi="仿宋" w:eastAsia="仿宋" w:cs="仿宋"/>
          <w:sz w:val="32"/>
          <w:szCs w:val="32"/>
        </w:rPr>
        <w:t>本办法没有涵盖和界定的其他教学改革研究与</w:t>
      </w:r>
      <w:r>
        <w:rPr>
          <w:rFonts w:hint="eastAsia" w:ascii="仿宋" w:hAnsi="仿宋" w:eastAsia="仿宋" w:cs="仿宋"/>
          <w:sz w:val="32"/>
          <w:szCs w:val="32"/>
          <w:lang w:eastAsia="zh-CN"/>
        </w:rPr>
        <w:t>实践</w:t>
      </w:r>
      <w:r>
        <w:rPr>
          <w:rFonts w:hint="eastAsia" w:ascii="仿宋" w:hAnsi="仿宋" w:eastAsia="仿宋" w:cs="仿宋"/>
          <w:sz w:val="32"/>
          <w:szCs w:val="32"/>
        </w:rPr>
        <w:t>成果，原则上不予</w:t>
      </w:r>
      <w:r>
        <w:rPr>
          <w:rFonts w:hint="eastAsia" w:ascii="仿宋" w:hAnsi="仿宋" w:eastAsia="仿宋" w:cs="仿宋"/>
          <w:sz w:val="32"/>
          <w:szCs w:val="32"/>
          <w:lang w:eastAsia="zh-CN"/>
        </w:rPr>
        <w:t>计算</w:t>
      </w:r>
      <w:r>
        <w:rPr>
          <w:rFonts w:hint="eastAsia" w:ascii="仿宋" w:hAnsi="仿宋" w:eastAsia="仿宋" w:cs="仿宋"/>
          <w:sz w:val="32"/>
          <w:szCs w:val="32"/>
        </w:rPr>
        <w:t>。如新增其他能反映我校教研教改水平较高的成果，经学校教学指导委员会决定是否计入奖励</w:t>
      </w:r>
      <w:r>
        <w:rPr>
          <w:rFonts w:hint="eastAsia" w:ascii="仿宋" w:hAnsi="仿宋" w:eastAsia="仿宋" w:cs="仿宋"/>
          <w:sz w:val="32"/>
          <w:szCs w:val="32"/>
          <w:lang w:eastAsia="zh-CN"/>
        </w:rPr>
        <w:t>范围。</w:t>
      </w:r>
    </w:p>
    <w:p w14:paraId="2CDB51B3">
      <w:pPr>
        <w:keepNext w:val="0"/>
        <w:keepLines w:val="0"/>
        <w:pageBreakBefore w:val="0"/>
        <w:widowControl w:val="0"/>
        <w:kinsoku/>
        <w:wordWrap/>
        <w:overflowPunct/>
        <w:topLinePunct w:val="0"/>
        <w:autoSpaceDE/>
        <w:autoSpaceDN/>
        <w:bidi w:val="0"/>
        <w:adjustRightInd/>
        <w:snapToGrid/>
        <w:spacing w:line="620" w:lineRule="exact"/>
        <w:ind w:firstLine="560"/>
        <w:textAlignment w:val="auto"/>
        <w:rPr>
          <w:rFonts w:hint="eastAsia" w:ascii="仿宋" w:hAnsi="仿宋" w:eastAsia="仿宋" w:cs="仿宋"/>
          <w:sz w:val="32"/>
          <w:szCs w:val="32"/>
        </w:rPr>
      </w:pPr>
      <w:r>
        <w:rPr>
          <w:rFonts w:hint="eastAsia" w:ascii="楷体" w:hAnsi="楷体" w:eastAsia="楷体" w:cs="楷体"/>
          <w:sz w:val="32"/>
          <w:szCs w:val="32"/>
        </w:rPr>
        <w:t>第十三条</w:t>
      </w:r>
      <w:r>
        <w:rPr>
          <w:rFonts w:hint="eastAsia" w:ascii="仿宋" w:hAnsi="仿宋" w:eastAsia="仿宋" w:cs="仿宋"/>
          <w:sz w:val="32"/>
          <w:szCs w:val="32"/>
        </w:rPr>
        <w:t xml:space="preserve">  本办法由高等教育研究所负责解释，</w:t>
      </w:r>
      <w:r>
        <w:rPr>
          <w:rFonts w:hint="eastAsia" w:ascii="仿宋" w:hAnsi="仿宋" w:eastAsia="仿宋" w:cs="仿宋"/>
          <w:sz w:val="32"/>
          <w:szCs w:val="32"/>
          <w:lang w:val="en-US" w:eastAsia="zh-CN"/>
        </w:rPr>
        <w:t>自2025年9月1日起执行</w:t>
      </w:r>
      <w:r>
        <w:rPr>
          <w:rFonts w:hint="eastAsia" w:ascii="仿宋" w:hAnsi="仿宋" w:eastAsia="仿宋" w:cs="仿宋"/>
          <w:sz w:val="32"/>
          <w:szCs w:val="32"/>
        </w:rPr>
        <w:t>。原《河北建筑工程学院教学改革研究与</w:t>
      </w:r>
      <w:r>
        <w:rPr>
          <w:rFonts w:hint="eastAsia" w:ascii="仿宋" w:hAnsi="仿宋" w:eastAsia="仿宋" w:cs="仿宋"/>
          <w:sz w:val="32"/>
          <w:szCs w:val="32"/>
          <w:lang w:eastAsia="zh-CN"/>
        </w:rPr>
        <w:t>实践</w:t>
      </w:r>
      <w:r>
        <w:rPr>
          <w:rFonts w:hint="eastAsia" w:ascii="仿宋" w:hAnsi="仿宋" w:eastAsia="仿宋" w:cs="仿宋"/>
          <w:sz w:val="32"/>
          <w:szCs w:val="32"/>
        </w:rPr>
        <w:t>成果</w:t>
      </w:r>
      <w:r>
        <w:rPr>
          <w:rFonts w:hint="eastAsia" w:ascii="仿宋" w:hAnsi="仿宋" w:eastAsia="仿宋" w:cs="仿宋"/>
          <w:sz w:val="32"/>
          <w:szCs w:val="32"/>
          <w:lang w:eastAsia="zh-CN"/>
        </w:rPr>
        <w:t>奖励</w:t>
      </w:r>
      <w:r>
        <w:rPr>
          <w:rFonts w:hint="eastAsia" w:ascii="仿宋" w:hAnsi="仿宋" w:eastAsia="仿宋" w:cs="仿宋"/>
          <w:sz w:val="32"/>
          <w:szCs w:val="32"/>
        </w:rPr>
        <w:t>办法》（校</w:t>
      </w:r>
      <w:r>
        <w:rPr>
          <w:rFonts w:hint="eastAsia" w:ascii="仿宋" w:hAnsi="仿宋" w:eastAsia="仿宋" w:cs="仿宋"/>
          <w:sz w:val="32"/>
          <w:szCs w:val="32"/>
          <w:lang w:eastAsia="zh-CN"/>
        </w:rPr>
        <w:t>政</w:t>
      </w:r>
      <w:r>
        <w:rPr>
          <w:rFonts w:hint="eastAsia" w:ascii="仿宋" w:hAnsi="仿宋" w:eastAsia="仿宋" w:cs="仿宋"/>
          <w:sz w:val="32"/>
          <w:szCs w:val="32"/>
        </w:rPr>
        <w:t>〔20</w:t>
      </w:r>
      <w:r>
        <w:rPr>
          <w:rFonts w:hint="eastAsia" w:ascii="仿宋" w:hAnsi="仿宋" w:eastAsia="仿宋" w:cs="仿宋"/>
          <w:sz w:val="32"/>
          <w:szCs w:val="32"/>
          <w:lang w:val="en-US" w:eastAsia="zh-CN"/>
        </w:rPr>
        <w:t>2</w:t>
      </w:r>
      <w:r>
        <w:rPr>
          <w:rFonts w:hint="eastAsia" w:ascii="仿宋" w:hAnsi="仿宋" w:eastAsia="仿宋" w:cs="仿宋"/>
          <w:sz w:val="32"/>
          <w:szCs w:val="32"/>
        </w:rPr>
        <w:t>4〕</w:t>
      </w:r>
      <w:r>
        <w:rPr>
          <w:rFonts w:hint="eastAsia" w:ascii="仿宋" w:hAnsi="仿宋" w:eastAsia="仿宋" w:cs="仿宋"/>
          <w:sz w:val="32"/>
          <w:szCs w:val="32"/>
          <w:lang w:val="en-US" w:eastAsia="zh-CN"/>
        </w:rPr>
        <w:t>44</w:t>
      </w:r>
      <w:r>
        <w:rPr>
          <w:rFonts w:hint="eastAsia" w:ascii="仿宋" w:hAnsi="仿宋" w:eastAsia="仿宋" w:cs="仿宋"/>
          <w:sz w:val="32"/>
          <w:szCs w:val="32"/>
        </w:rPr>
        <w:t>号）同时废止。</w:t>
      </w:r>
    </w:p>
    <w:p w14:paraId="05F67C6A">
      <w:pPr>
        <w:rPr>
          <w:rFonts w:hint="eastAsia" w:ascii="仿宋" w:hAnsi="仿宋" w:eastAsia="仿宋" w:cs="仿宋"/>
          <w:sz w:val="32"/>
          <w:szCs w:val="32"/>
        </w:rPr>
      </w:pPr>
    </w:p>
    <w:p w14:paraId="22273E8F">
      <w:pPr>
        <w:rPr>
          <w:rFonts w:hint="eastAsia" w:ascii="Times New Roman" w:hAnsi="Times New Roman" w:cs="Times New Roman"/>
          <w:sz w:val="28"/>
          <w:szCs w:val="28"/>
        </w:rPr>
      </w:pPr>
    </w:p>
    <w:p w14:paraId="5D4AE60F">
      <w:pPr>
        <w:rPr>
          <w:rFonts w:hint="eastAsia" w:ascii="Times New Roman" w:hAnsi="Times New Roman" w:cs="Times New Roman"/>
          <w:sz w:val="28"/>
          <w:szCs w:val="28"/>
        </w:rPr>
      </w:pPr>
    </w:p>
    <w:p w14:paraId="15BAB6D2">
      <w:pPr>
        <w:rPr>
          <w:rFonts w:hint="eastAsia" w:ascii="Times New Roman" w:hAnsi="Times New Roman" w:cs="Times New Roman"/>
          <w:sz w:val="28"/>
          <w:szCs w:val="28"/>
        </w:rPr>
      </w:pPr>
    </w:p>
    <w:p w14:paraId="0EB4806C">
      <w:pPr>
        <w:rPr>
          <w:rFonts w:hint="eastAsia" w:ascii="Times New Roman" w:hAnsi="Times New Roman" w:cs="Times New Roman"/>
          <w:sz w:val="28"/>
          <w:szCs w:val="28"/>
        </w:rPr>
      </w:pPr>
    </w:p>
    <w:p w14:paraId="24672511">
      <w:pPr>
        <w:rPr>
          <w:rFonts w:hint="eastAsia" w:ascii="Times New Roman" w:hAnsi="Times New Roman" w:cs="Times New Roman"/>
          <w:sz w:val="28"/>
          <w:szCs w:val="28"/>
        </w:rPr>
      </w:pPr>
    </w:p>
    <w:p w14:paraId="4B62E047">
      <w:pPr>
        <w:rPr>
          <w:rFonts w:hint="eastAsia" w:ascii="Times New Roman" w:hAnsi="Times New Roman" w:cs="Times New Roman"/>
          <w:sz w:val="28"/>
          <w:szCs w:val="28"/>
        </w:rPr>
      </w:pPr>
    </w:p>
    <w:p w14:paraId="7AB909FE">
      <w:pPr>
        <w:rPr>
          <w:rFonts w:hint="eastAsia" w:ascii="Times New Roman" w:hAnsi="Times New Roman" w:cs="Times New Roman"/>
          <w:sz w:val="28"/>
          <w:szCs w:val="28"/>
        </w:rPr>
      </w:pPr>
    </w:p>
    <w:p w14:paraId="286A78D8">
      <w:pPr>
        <w:rPr>
          <w:rFonts w:hint="eastAsia" w:ascii="Times New Roman" w:hAnsi="Times New Roman" w:cs="Times New Roman"/>
          <w:sz w:val="28"/>
          <w:szCs w:val="28"/>
        </w:rPr>
      </w:pPr>
    </w:p>
    <w:p w14:paraId="07BD5B30">
      <w:pPr>
        <w:rPr>
          <w:rFonts w:hint="eastAsia" w:ascii="Times New Roman" w:hAnsi="Times New Roman" w:cs="Times New Roman"/>
          <w:sz w:val="28"/>
          <w:szCs w:val="28"/>
        </w:rPr>
      </w:pPr>
    </w:p>
    <w:p w14:paraId="0422BE3C">
      <w:pPr>
        <w:rPr>
          <w:rFonts w:hint="eastAsia" w:ascii="Times New Roman" w:hAnsi="Times New Roman" w:cs="Times New Roman"/>
          <w:sz w:val="28"/>
          <w:szCs w:val="28"/>
        </w:rPr>
      </w:pPr>
    </w:p>
    <w:p w14:paraId="10AC077E">
      <w:pPr>
        <w:rPr>
          <w:rFonts w:hint="eastAsia" w:ascii="黑体" w:hAnsi="黑体" w:eastAsia="黑体" w:cs="黑体"/>
          <w:sz w:val="32"/>
          <w:szCs w:val="32"/>
          <w:lang w:val="en-US" w:eastAsia="zh-CN"/>
        </w:rPr>
      </w:pPr>
      <w:r>
        <w:rPr>
          <w:rFonts w:hint="eastAsia" w:ascii="黑体" w:hAnsi="黑体" w:eastAsia="黑体" w:cs="黑体"/>
          <w:sz w:val="32"/>
          <w:szCs w:val="32"/>
        </w:rPr>
        <w:t>附件</w:t>
      </w:r>
      <w:r>
        <w:rPr>
          <w:rFonts w:hint="eastAsia" w:ascii="黑体" w:hAnsi="黑体" w:eastAsia="黑体" w:cs="黑体"/>
          <w:sz w:val="32"/>
          <w:szCs w:val="32"/>
          <w:lang w:val="en-US" w:eastAsia="zh-CN"/>
        </w:rPr>
        <w:t>2</w:t>
      </w:r>
    </w:p>
    <w:p w14:paraId="2B286812">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宋体" w:hAnsi="宋体" w:eastAsia="宋体" w:cs="宋体"/>
          <w:b/>
          <w:bCs/>
          <w:sz w:val="44"/>
          <w:szCs w:val="44"/>
        </w:rPr>
      </w:pPr>
      <w:r>
        <w:rPr>
          <w:rFonts w:hint="eastAsia" w:ascii="宋体" w:hAnsi="宋体" w:eastAsia="宋体" w:cs="宋体"/>
          <w:b/>
          <w:bCs/>
          <w:sz w:val="44"/>
          <w:szCs w:val="44"/>
        </w:rPr>
        <w:t>各类教学改革研究与</w:t>
      </w:r>
      <w:r>
        <w:rPr>
          <w:rFonts w:hint="eastAsia" w:ascii="宋体" w:hAnsi="宋体" w:eastAsia="宋体" w:cs="宋体"/>
          <w:b/>
          <w:bCs/>
          <w:sz w:val="44"/>
          <w:szCs w:val="44"/>
          <w:lang w:eastAsia="zh-CN"/>
        </w:rPr>
        <w:t>实践</w:t>
      </w:r>
      <w:r>
        <w:rPr>
          <w:rFonts w:hint="eastAsia" w:ascii="宋体" w:hAnsi="宋体" w:eastAsia="宋体" w:cs="宋体"/>
          <w:b/>
          <w:bCs/>
          <w:sz w:val="44"/>
          <w:szCs w:val="44"/>
        </w:rPr>
        <w:t>成果</w:t>
      </w:r>
      <w:r>
        <w:rPr>
          <w:rFonts w:hint="eastAsia" w:ascii="宋体" w:hAnsi="宋体" w:eastAsia="宋体" w:cs="宋体"/>
          <w:b/>
          <w:bCs/>
          <w:sz w:val="44"/>
          <w:szCs w:val="44"/>
          <w:lang w:eastAsia="zh-CN"/>
        </w:rPr>
        <w:t>计算</w:t>
      </w:r>
      <w:r>
        <w:rPr>
          <w:rFonts w:hint="eastAsia" w:ascii="宋体" w:hAnsi="宋体" w:eastAsia="宋体" w:cs="宋体"/>
          <w:b/>
          <w:bCs/>
          <w:sz w:val="44"/>
          <w:szCs w:val="44"/>
        </w:rPr>
        <w:t>标准</w:t>
      </w:r>
    </w:p>
    <w:tbl>
      <w:tblPr>
        <w:tblStyle w:val="6"/>
        <w:tblW w:w="91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2"/>
        <w:gridCol w:w="2560"/>
        <w:gridCol w:w="1533"/>
        <w:gridCol w:w="2080"/>
        <w:gridCol w:w="2061"/>
      </w:tblGrid>
      <w:tr w14:paraId="4441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9" w:hRule="atLeast"/>
        </w:trPr>
        <w:tc>
          <w:tcPr>
            <w:tcW w:w="962" w:type="dxa"/>
            <w:noWrap w:val="0"/>
            <w:vAlign w:val="center"/>
          </w:tcPr>
          <w:p w14:paraId="0A28F0EB">
            <w:pPr>
              <w:jc w:val="center"/>
              <w:rPr>
                <w:rFonts w:ascii="Times New Roman" w:hAnsi="Times New Roman" w:cs="Times New Roman"/>
                <w:b/>
                <w:bCs/>
                <w:sz w:val="28"/>
                <w:szCs w:val="28"/>
              </w:rPr>
            </w:pPr>
            <w:r>
              <w:rPr>
                <w:rFonts w:hint="eastAsia" w:ascii="Times New Roman" w:hAnsi="Times New Roman" w:cs="Times New Roman"/>
                <w:b/>
                <w:bCs/>
                <w:sz w:val="28"/>
                <w:szCs w:val="28"/>
              </w:rPr>
              <w:t>序号</w:t>
            </w:r>
          </w:p>
        </w:tc>
        <w:tc>
          <w:tcPr>
            <w:tcW w:w="2560" w:type="dxa"/>
            <w:noWrap w:val="0"/>
            <w:vAlign w:val="center"/>
          </w:tcPr>
          <w:p w14:paraId="331514CD">
            <w:pPr>
              <w:jc w:val="center"/>
              <w:rPr>
                <w:rFonts w:ascii="Times New Roman" w:hAnsi="Times New Roman" w:cs="Times New Roman"/>
                <w:b/>
                <w:bCs/>
                <w:sz w:val="28"/>
                <w:szCs w:val="28"/>
              </w:rPr>
            </w:pPr>
            <w:r>
              <w:rPr>
                <w:rFonts w:hint="eastAsia" w:ascii="Times New Roman" w:hAnsi="Times New Roman" w:cs="Times New Roman"/>
                <w:b/>
                <w:bCs/>
                <w:sz w:val="28"/>
                <w:szCs w:val="28"/>
              </w:rPr>
              <w:t>成果类别</w:t>
            </w:r>
          </w:p>
        </w:tc>
        <w:tc>
          <w:tcPr>
            <w:tcW w:w="3613" w:type="dxa"/>
            <w:gridSpan w:val="2"/>
            <w:noWrap w:val="0"/>
            <w:vAlign w:val="center"/>
          </w:tcPr>
          <w:p w14:paraId="463444A9">
            <w:pPr>
              <w:jc w:val="center"/>
              <w:rPr>
                <w:rFonts w:ascii="Times New Roman" w:hAnsi="Times New Roman" w:cs="Times New Roman"/>
                <w:b/>
                <w:bCs/>
                <w:sz w:val="28"/>
                <w:szCs w:val="28"/>
              </w:rPr>
            </w:pPr>
            <w:r>
              <w:rPr>
                <w:rFonts w:hint="eastAsia" w:ascii="Times New Roman" w:hAnsi="Times New Roman" w:cs="Times New Roman"/>
                <w:b/>
                <w:bCs/>
                <w:sz w:val="28"/>
                <w:szCs w:val="28"/>
              </w:rPr>
              <w:t>成果级别</w:t>
            </w:r>
          </w:p>
        </w:tc>
        <w:tc>
          <w:tcPr>
            <w:tcW w:w="2061" w:type="dxa"/>
            <w:noWrap w:val="0"/>
            <w:vAlign w:val="center"/>
          </w:tcPr>
          <w:p w14:paraId="5D298349">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imes New Roman" w:hAnsi="Times New Roman" w:cs="Times New Roman"/>
                <w:b/>
                <w:bCs/>
                <w:sz w:val="28"/>
                <w:szCs w:val="28"/>
              </w:rPr>
            </w:pPr>
            <w:r>
              <w:rPr>
                <w:rFonts w:hint="eastAsia" w:ascii="Times New Roman" w:hAnsi="Times New Roman" w:cs="Times New Roman"/>
                <w:b/>
                <w:bCs/>
                <w:sz w:val="28"/>
                <w:szCs w:val="28"/>
                <w:lang w:eastAsia="zh-CN"/>
              </w:rPr>
              <w:t>计算</w:t>
            </w:r>
            <w:r>
              <w:rPr>
                <w:rFonts w:hint="eastAsia" w:ascii="Times New Roman" w:hAnsi="Times New Roman" w:cs="Times New Roman"/>
                <w:b/>
                <w:bCs/>
                <w:sz w:val="28"/>
                <w:szCs w:val="28"/>
              </w:rPr>
              <w:t>标准</w:t>
            </w:r>
          </w:p>
          <w:p w14:paraId="1F8FD67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hAnsi="Times New Roman" w:cs="Times New Roman"/>
                <w:b/>
                <w:bCs/>
                <w:sz w:val="28"/>
                <w:szCs w:val="28"/>
              </w:rPr>
            </w:pPr>
            <w:r>
              <w:rPr>
                <w:rFonts w:hint="eastAsia" w:ascii="Times New Roman" w:hAnsi="Times New Roman" w:cs="Times New Roman"/>
                <w:b/>
                <w:bCs/>
                <w:sz w:val="28"/>
                <w:szCs w:val="28"/>
              </w:rPr>
              <w:t>（</w:t>
            </w:r>
            <w:r>
              <w:rPr>
                <w:rFonts w:hint="eastAsia" w:ascii="Times New Roman" w:hAnsi="Times New Roman" w:cs="Times New Roman"/>
                <w:b/>
                <w:bCs/>
                <w:sz w:val="28"/>
                <w:szCs w:val="28"/>
                <w:lang w:eastAsia="zh-CN"/>
              </w:rPr>
              <w:t>指数</w:t>
            </w:r>
            <w:r>
              <w:rPr>
                <w:rFonts w:hint="eastAsia" w:ascii="Times New Roman" w:hAnsi="Times New Roman" w:cs="Times New Roman"/>
                <w:b/>
                <w:bCs/>
                <w:sz w:val="28"/>
                <w:szCs w:val="28"/>
              </w:rPr>
              <w:t>/项）</w:t>
            </w:r>
          </w:p>
        </w:tc>
      </w:tr>
      <w:tr w14:paraId="749BB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Merge w:val="restart"/>
            <w:noWrap w:val="0"/>
            <w:vAlign w:val="center"/>
          </w:tcPr>
          <w:p w14:paraId="4A01F2B8">
            <w:pPr>
              <w:jc w:val="center"/>
              <w:rPr>
                <w:rFonts w:hint="eastAsia" w:ascii="仿宋" w:hAnsi="仿宋" w:eastAsia="仿宋" w:cs="仿宋"/>
                <w:sz w:val="32"/>
                <w:szCs w:val="32"/>
              </w:rPr>
            </w:pPr>
            <w:r>
              <w:rPr>
                <w:rFonts w:hint="eastAsia" w:ascii="仿宋" w:hAnsi="仿宋" w:eastAsia="仿宋" w:cs="仿宋"/>
                <w:sz w:val="32"/>
                <w:szCs w:val="32"/>
              </w:rPr>
              <w:t>1</w:t>
            </w:r>
          </w:p>
        </w:tc>
        <w:tc>
          <w:tcPr>
            <w:tcW w:w="2560" w:type="dxa"/>
            <w:vMerge w:val="restart"/>
            <w:noWrap w:val="0"/>
            <w:vAlign w:val="center"/>
          </w:tcPr>
          <w:p w14:paraId="610C7AF8">
            <w:pPr>
              <w:jc w:val="center"/>
              <w:rPr>
                <w:rFonts w:hint="eastAsia" w:ascii="仿宋" w:hAnsi="仿宋" w:eastAsia="仿宋" w:cs="仿宋"/>
                <w:sz w:val="32"/>
                <w:szCs w:val="32"/>
              </w:rPr>
            </w:pPr>
            <w:r>
              <w:rPr>
                <w:rFonts w:hint="eastAsia" w:ascii="仿宋" w:hAnsi="仿宋" w:eastAsia="仿宋" w:cs="仿宋"/>
                <w:sz w:val="32"/>
                <w:szCs w:val="32"/>
              </w:rPr>
              <w:t>教学成果奖</w:t>
            </w:r>
          </w:p>
        </w:tc>
        <w:tc>
          <w:tcPr>
            <w:tcW w:w="1533" w:type="dxa"/>
            <w:vMerge w:val="restart"/>
            <w:noWrap w:val="0"/>
            <w:vAlign w:val="center"/>
          </w:tcPr>
          <w:p w14:paraId="1057A749">
            <w:pPr>
              <w:jc w:val="center"/>
              <w:rPr>
                <w:rFonts w:hint="eastAsia" w:ascii="仿宋" w:hAnsi="仿宋" w:eastAsia="仿宋" w:cs="仿宋"/>
                <w:sz w:val="32"/>
                <w:szCs w:val="32"/>
              </w:rPr>
            </w:pPr>
            <w:r>
              <w:rPr>
                <w:rFonts w:hint="eastAsia" w:ascii="仿宋" w:hAnsi="仿宋" w:eastAsia="仿宋" w:cs="仿宋"/>
                <w:sz w:val="32"/>
                <w:szCs w:val="32"/>
              </w:rPr>
              <w:t>国家级</w:t>
            </w:r>
          </w:p>
        </w:tc>
        <w:tc>
          <w:tcPr>
            <w:tcW w:w="2080" w:type="dxa"/>
            <w:noWrap w:val="0"/>
            <w:vAlign w:val="center"/>
          </w:tcPr>
          <w:p w14:paraId="17CBD221">
            <w:pPr>
              <w:jc w:val="center"/>
              <w:rPr>
                <w:rFonts w:hint="eastAsia" w:ascii="仿宋" w:hAnsi="仿宋" w:eastAsia="仿宋" w:cs="仿宋"/>
                <w:sz w:val="32"/>
                <w:szCs w:val="32"/>
              </w:rPr>
            </w:pPr>
            <w:r>
              <w:rPr>
                <w:rFonts w:hint="eastAsia" w:ascii="仿宋" w:hAnsi="仿宋" w:eastAsia="仿宋" w:cs="仿宋"/>
                <w:sz w:val="32"/>
                <w:szCs w:val="32"/>
              </w:rPr>
              <w:t>一等奖</w:t>
            </w:r>
          </w:p>
        </w:tc>
        <w:tc>
          <w:tcPr>
            <w:tcW w:w="2061" w:type="dxa"/>
            <w:noWrap w:val="0"/>
            <w:vAlign w:val="center"/>
          </w:tcPr>
          <w:p w14:paraId="276495FE">
            <w:pPr>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12000</w:t>
            </w:r>
          </w:p>
        </w:tc>
      </w:tr>
      <w:tr w14:paraId="35F7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Merge w:val="continue"/>
            <w:noWrap w:val="0"/>
            <w:vAlign w:val="center"/>
          </w:tcPr>
          <w:p w14:paraId="3BBB8062">
            <w:pPr>
              <w:jc w:val="center"/>
              <w:rPr>
                <w:rFonts w:hint="eastAsia" w:ascii="仿宋" w:hAnsi="仿宋" w:eastAsia="仿宋" w:cs="仿宋"/>
                <w:sz w:val="32"/>
                <w:szCs w:val="32"/>
              </w:rPr>
            </w:pPr>
          </w:p>
        </w:tc>
        <w:tc>
          <w:tcPr>
            <w:tcW w:w="2560" w:type="dxa"/>
            <w:vMerge w:val="continue"/>
            <w:noWrap w:val="0"/>
            <w:vAlign w:val="center"/>
          </w:tcPr>
          <w:p w14:paraId="7A06D99B">
            <w:pPr>
              <w:jc w:val="center"/>
              <w:rPr>
                <w:rFonts w:hint="eastAsia" w:ascii="仿宋" w:hAnsi="仿宋" w:eastAsia="仿宋" w:cs="仿宋"/>
                <w:sz w:val="32"/>
                <w:szCs w:val="32"/>
              </w:rPr>
            </w:pPr>
          </w:p>
        </w:tc>
        <w:tc>
          <w:tcPr>
            <w:tcW w:w="1533" w:type="dxa"/>
            <w:vMerge w:val="continue"/>
            <w:noWrap w:val="0"/>
            <w:vAlign w:val="center"/>
          </w:tcPr>
          <w:p w14:paraId="45FC6B59">
            <w:pPr>
              <w:jc w:val="center"/>
              <w:rPr>
                <w:rFonts w:hint="eastAsia" w:ascii="仿宋" w:hAnsi="仿宋" w:eastAsia="仿宋" w:cs="仿宋"/>
                <w:sz w:val="32"/>
                <w:szCs w:val="32"/>
              </w:rPr>
            </w:pPr>
          </w:p>
        </w:tc>
        <w:tc>
          <w:tcPr>
            <w:tcW w:w="2080" w:type="dxa"/>
            <w:noWrap w:val="0"/>
            <w:vAlign w:val="center"/>
          </w:tcPr>
          <w:p w14:paraId="064BC9D8">
            <w:pPr>
              <w:jc w:val="center"/>
              <w:rPr>
                <w:rFonts w:hint="eastAsia" w:ascii="仿宋" w:hAnsi="仿宋" w:eastAsia="仿宋" w:cs="仿宋"/>
                <w:sz w:val="32"/>
                <w:szCs w:val="32"/>
              </w:rPr>
            </w:pPr>
            <w:r>
              <w:rPr>
                <w:rFonts w:hint="eastAsia" w:ascii="仿宋" w:hAnsi="仿宋" w:eastAsia="仿宋" w:cs="仿宋"/>
                <w:sz w:val="32"/>
                <w:szCs w:val="32"/>
              </w:rPr>
              <w:t>二等奖</w:t>
            </w:r>
          </w:p>
        </w:tc>
        <w:tc>
          <w:tcPr>
            <w:tcW w:w="2061" w:type="dxa"/>
            <w:noWrap w:val="0"/>
            <w:vAlign w:val="center"/>
          </w:tcPr>
          <w:p w14:paraId="394C6F32">
            <w:pPr>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6000</w:t>
            </w:r>
          </w:p>
        </w:tc>
      </w:tr>
      <w:tr w14:paraId="7F35D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Merge w:val="continue"/>
            <w:noWrap w:val="0"/>
            <w:vAlign w:val="center"/>
          </w:tcPr>
          <w:p w14:paraId="488E11A4">
            <w:pPr>
              <w:jc w:val="center"/>
              <w:rPr>
                <w:rFonts w:hint="eastAsia" w:ascii="仿宋" w:hAnsi="仿宋" w:eastAsia="仿宋" w:cs="仿宋"/>
                <w:sz w:val="32"/>
                <w:szCs w:val="32"/>
              </w:rPr>
            </w:pPr>
          </w:p>
        </w:tc>
        <w:tc>
          <w:tcPr>
            <w:tcW w:w="2560" w:type="dxa"/>
            <w:vMerge w:val="continue"/>
            <w:noWrap w:val="0"/>
            <w:vAlign w:val="center"/>
          </w:tcPr>
          <w:p w14:paraId="7924EF83">
            <w:pPr>
              <w:jc w:val="center"/>
              <w:rPr>
                <w:rFonts w:hint="eastAsia" w:ascii="仿宋" w:hAnsi="仿宋" w:eastAsia="仿宋" w:cs="仿宋"/>
                <w:sz w:val="32"/>
                <w:szCs w:val="32"/>
              </w:rPr>
            </w:pPr>
          </w:p>
        </w:tc>
        <w:tc>
          <w:tcPr>
            <w:tcW w:w="1533" w:type="dxa"/>
            <w:vMerge w:val="restart"/>
            <w:noWrap w:val="0"/>
            <w:vAlign w:val="center"/>
          </w:tcPr>
          <w:p w14:paraId="006592C2">
            <w:pPr>
              <w:jc w:val="center"/>
              <w:rPr>
                <w:rFonts w:hint="eastAsia" w:ascii="仿宋" w:hAnsi="仿宋" w:eastAsia="仿宋" w:cs="仿宋"/>
                <w:sz w:val="32"/>
                <w:szCs w:val="32"/>
              </w:rPr>
            </w:pPr>
            <w:r>
              <w:rPr>
                <w:rFonts w:hint="eastAsia" w:ascii="仿宋" w:hAnsi="仿宋" w:eastAsia="仿宋" w:cs="仿宋"/>
                <w:sz w:val="32"/>
                <w:szCs w:val="32"/>
              </w:rPr>
              <w:t>省部级</w:t>
            </w:r>
          </w:p>
        </w:tc>
        <w:tc>
          <w:tcPr>
            <w:tcW w:w="2080" w:type="dxa"/>
            <w:noWrap w:val="0"/>
            <w:vAlign w:val="center"/>
          </w:tcPr>
          <w:p w14:paraId="06DE3D1E">
            <w:pPr>
              <w:jc w:val="center"/>
              <w:rPr>
                <w:rFonts w:hint="eastAsia" w:ascii="仿宋" w:hAnsi="仿宋" w:eastAsia="仿宋" w:cs="仿宋"/>
                <w:sz w:val="32"/>
                <w:szCs w:val="32"/>
              </w:rPr>
            </w:pPr>
            <w:r>
              <w:rPr>
                <w:rFonts w:hint="eastAsia" w:ascii="仿宋" w:hAnsi="仿宋" w:eastAsia="仿宋" w:cs="仿宋"/>
                <w:sz w:val="32"/>
                <w:szCs w:val="32"/>
              </w:rPr>
              <w:t>一等奖</w:t>
            </w:r>
          </w:p>
        </w:tc>
        <w:tc>
          <w:tcPr>
            <w:tcW w:w="2061" w:type="dxa"/>
            <w:noWrap w:val="0"/>
            <w:vAlign w:val="center"/>
          </w:tcPr>
          <w:p w14:paraId="71BA0003">
            <w:pPr>
              <w:jc w:val="center"/>
              <w:rPr>
                <w:rFonts w:hint="eastAsia" w:ascii="仿宋" w:hAnsi="仿宋" w:eastAsia="仿宋" w:cs="仿宋"/>
                <w:sz w:val="32"/>
                <w:szCs w:val="32"/>
                <w:lang w:val="en-US"/>
              </w:rPr>
            </w:pPr>
            <w:r>
              <w:rPr>
                <w:rFonts w:hint="eastAsia" w:ascii="仿宋" w:hAnsi="仿宋" w:eastAsia="仿宋" w:cs="仿宋"/>
                <w:sz w:val="32"/>
                <w:szCs w:val="32"/>
                <w:lang w:val="en-US" w:eastAsia="zh-CN"/>
              </w:rPr>
              <w:t>1600</w:t>
            </w:r>
          </w:p>
        </w:tc>
      </w:tr>
      <w:tr w14:paraId="3B7E8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Merge w:val="continue"/>
            <w:noWrap w:val="0"/>
            <w:vAlign w:val="center"/>
          </w:tcPr>
          <w:p w14:paraId="77022B2F">
            <w:pPr>
              <w:jc w:val="center"/>
              <w:rPr>
                <w:rFonts w:hint="eastAsia" w:ascii="仿宋" w:hAnsi="仿宋" w:eastAsia="仿宋" w:cs="仿宋"/>
                <w:sz w:val="32"/>
                <w:szCs w:val="32"/>
              </w:rPr>
            </w:pPr>
          </w:p>
        </w:tc>
        <w:tc>
          <w:tcPr>
            <w:tcW w:w="2560" w:type="dxa"/>
            <w:vMerge w:val="continue"/>
            <w:noWrap w:val="0"/>
            <w:vAlign w:val="center"/>
          </w:tcPr>
          <w:p w14:paraId="3D6F0F85">
            <w:pPr>
              <w:jc w:val="center"/>
              <w:rPr>
                <w:rFonts w:hint="eastAsia" w:ascii="仿宋" w:hAnsi="仿宋" w:eastAsia="仿宋" w:cs="仿宋"/>
                <w:sz w:val="32"/>
                <w:szCs w:val="32"/>
              </w:rPr>
            </w:pPr>
          </w:p>
        </w:tc>
        <w:tc>
          <w:tcPr>
            <w:tcW w:w="1533" w:type="dxa"/>
            <w:vMerge w:val="continue"/>
            <w:noWrap w:val="0"/>
            <w:vAlign w:val="center"/>
          </w:tcPr>
          <w:p w14:paraId="3B5E9E6D">
            <w:pPr>
              <w:jc w:val="center"/>
              <w:rPr>
                <w:rFonts w:hint="eastAsia" w:ascii="仿宋" w:hAnsi="仿宋" w:eastAsia="仿宋" w:cs="仿宋"/>
                <w:sz w:val="32"/>
                <w:szCs w:val="32"/>
              </w:rPr>
            </w:pPr>
          </w:p>
        </w:tc>
        <w:tc>
          <w:tcPr>
            <w:tcW w:w="2080" w:type="dxa"/>
            <w:noWrap w:val="0"/>
            <w:vAlign w:val="center"/>
          </w:tcPr>
          <w:p w14:paraId="4E961A8A">
            <w:pPr>
              <w:jc w:val="center"/>
              <w:rPr>
                <w:rFonts w:hint="eastAsia" w:ascii="仿宋" w:hAnsi="仿宋" w:eastAsia="仿宋" w:cs="仿宋"/>
                <w:sz w:val="32"/>
                <w:szCs w:val="32"/>
              </w:rPr>
            </w:pPr>
            <w:r>
              <w:rPr>
                <w:rFonts w:hint="eastAsia" w:ascii="仿宋" w:hAnsi="仿宋" w:eastAsia="仿宋" w:cs="仿宋"/>
                <w:sz w:val="32"/>
                <w:szCs w:val="32"/>
              </w:rPr>
              <w:t>二等奖</w:t>
            </w:r>
          </w:p>
        </w:tc>
        <w:tc>
          <w:tcPr>
            <w:tcW w:w="2061" w:type="dxa"/>
            <w:noWrap w:val="0"/>
            <w:vAlign w:val="center"/>
          </w:tcPr>
          <w:p w14:paraId="4DD6DE00">
            <w:pPr>
              <w:jc w:val="center"/>
              <w:rPr>
                <w:rFonts w:hint="eastAsia" w:ascii="仿宋" w:hAnsi="仿宋" w:eastAsia="仿宋" w:cs="仿宋"/>
                <w:sz w:val="32"/>
                <w:szCs w:val="32"/>
                <w:lang w:val="en-US"/>
              </w:rPr>
            </w:pPr>
            <w:r>
              <w:rPr>
                <w:rFonts w:hint="eastAsia" w:ascii="仿宋" w:hAnsi="仿宋" w:eastAsia="仿宋" w:cs="仿宋"/>
                <w:sz w:val="32"/>
                <w:szCs w:val="32"/>
                <w:lang w:val="en-US" w:eastAsia="zh-CN"/>
              </w:rPr>
              <w:t>800</w:t>
            </w:r>
          </w:p>
        </w:tc>
      </w:tr>
      <w:tr w14:paraId="5E0A6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Merge w:val="continue"/>
            <w:noWrap w:val="0"/>
            <w:vAlign w:val="center"/>
          </w:tcPr>
          <w:p w14:paraId="0D375A29">
            <w:pPr>
              <w:jc w:val="center"/>
              <w:rPr>
                <w:rFonts w:hint="eastAsia" w:ascii="仿宋" w:hAnsi="仿宋" w:eastAsia="仿宋" w:cs="仿宋"/>
                <w:sz w:val="32"/>
                <w:szCs w:val="32"/>
              </w:rPr>
            </w:pPr>
          </w:p>
        </w:tc>
        <w:tc>
          <w:tcPr>
            <w:tcW w:w="2560" w:type="dxa"/>
            <w:vMerge w:val="continue"/>
            <w:noWrap w:val="0"/>
            <w:vAlign w:val="center"/>
          </w:tcPr>
          <w:p w14:paraId="71AE7229">
            <w:pPr>
              <w:jc w:val="center"/>
              <w:rPr>
                <w:rFonts w:hint="eastAsia" w:ascii="仿宋" w:hAnsi="仿宋" w:eastAsia="仿宋" w:cs="仿宋"/>
                <w:sz w:val="32"/>
                <w:szCs w:val="32"/>
              </w:rPr>
            </w:pPr>
          </w:p>
        </w:tc>
        <w:tc>
          <w:tcPr>
            <w:tcW w:w="1533" w:type="dxa"/>
            <w:vMerge w:val="continue"/>
            <w:noWrap w:val="0"/>
            <w:vAlign w:val="center"/>
          </w:tcPr>
          <w:p w14:paraId="1148DFDA">
            <w:pPr>
              <w:jc w:val="center"/>
              <w:rPr>
                <w:rFonts w:hint="eastAsia" w:ascii="仿宋" w:hAnsi="仿宋" w:eastAsia="仿宋" w:cs="仿宋"/>
                <w:sz w:val="32"/>
                <w:szCs w:val="32"/>
              </w:rPr>
            </w:pPr>
          </w:p>
        </w:tc>
        <w:tc>
          <w:tcPr>
            <w:tcW w:w="2080" w:type="dxa"/>
            <w:noWrap w:val="0"/>
            <w:vAlign w:val="center"/>
          </w:tcPr>
          <w:p w14:paraId="5E128C09">
            <w:pPr>
              <w:jc w:val="center"/>
              <w:rPr>
                <w:rFonts w:hint="eastAsia" w:ascii="仿宋" w:hAnsi="仿宋" w:eastAsia="仿宋" w:cs="仿宋"/>
                <w:sz w:val="32"/>
                <w:szCs w:val="32"/>
              </w:rPr>
            </w:pPr>
            <w:r>
              <w:rPr>
                <w:rFonts w:hint="eastAsia" w:ascii="仿宋" w:hAnsi="仿宋" w:eastAsia="仿宋" w:cs="仿宋"/>
                <w:sz w:val="32"/>
                <w:szCs w:val="32"/>
              </w:rPr>
              <w:t>三等奖</w:t>
            </w:r>
          </w:p>
        </w:tc>
        <w:tc>
          <w:tcPr>
            <w:tcW w:w="2061" w:type="dxa"/>
            <w:noWrap w:val="0"/>
            <w:vAlign w:val="center"/>
          </w:tcPr>
          <w:p w14:paraId="627F3D7C">
            <w:pPr>
              <w:jc w:val="center"/>
              <w:rPr>
                <w:rFonts w:hint="eastAsia" w:ascii="仿宋" w:hAnsi="仿宋" w:eastAsia="仿宋" w:cs="仿宋"/>
                <w:sz w:val="32"/>
                <w:szCs w:val="32"/>
                <w:lang w:val="en-US"/>
              </w:rPr>
            </w:pPr>
            <w:r>
              <w:rPr>
                <w:rFonts w:hint="eastAsia" w:ascii="仿宋" w:hAnsi="仿宋" w:eastAsia="仿宋" w:cs="仿宋"/>
                <w:sz w:val="32"/>
                <w:szCs w:val="32"/>
                <w:lang w:val="en-US" w:eastAsia="zh-CN"/>
              </w:rPr>
              <w:t>400</w:t>
            </w:r>
          </w:p>
        </w:tc>
      </w:tr>
      <w:tr w14:paraId="0E010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962" w:type="dxa"/>
            <w:vMerge w:val="restart"/>
            <w:noWrap w:val="0"/>
            <w:vAlign w:val="center"/>
          </w:tcPr>
          <w:p w14:paraId="664C2DEE">
            <w:pPr>
              <w:jc w:val="center"/>
              <w:rPr>
                <w:rFonts w:hint="eastAsia" w:ascii="仿宋" w:hAnsi="仿宋" w:eastAsia="仿宋" w:cs="仿宋"/>
                <w:sz w:val="32"/>
                <w:szCs w:val="32"/>
              </w:rPr>
            </w:pPr>
            <w:r>
              <w:rPr>
                <w:rFonts w:hint="eastAsia" w:ascii="仿宋" w:hAnsi="仿宋" w:eastAsia="仿宋" w:cs="仿宋"/>
                <w:sz w:val="32"/>
                <w:szCs w:val="32"/>
              </w:rPr>
              <w:t>2</w:t>
            </w:r>
          </w:p>
        </w:tc>
        <w:tc>
          <w:tcPr>
            <w:tcW w:w="2560" w:type="dxa"/>
            <w:vMerge w:val="restart"/>
            <w:noWrap w:val="0"/>
            <w:vAlign w:val="center"/>
          </w:tcPr>
          <w:p w14:paraId="72D3A452">
            <w:pPr>
              <w:jc w:val="center"/>
              <w:rPr>
                <w:rFonts w:hint="eastAsia" w:ascii="仿宋" w:hAnsi="仿宋" w:eastAsia="仿宋" w:cs="仿宋"/>
                <w:sz w:val="32"/>
                <w:szCs w:val="32"/>
              </w:rPr>
            </w:pPr>
            <w:r>
              <w:rPr>
                <w:rFonts w:hint="eastAsia" w:ascii="仿宋" w:hAnsi="仿宋" w:eastAsia="仿宋" w:cs="仿宋"/>
                <w:sz w:val="32"/>
                <w:szCs w:val="32"/>
              </w:rPr>
              <w:t>教研项目</w:t>
            </w:r>
          </w:p>
        </w:tc>
        <w:tc>
          <w:tcPr>
            <w:tcW w:w="1533" w:type="dxa"/>
            <w:vMerge w:val="restart"/>
            <w:noWrap w:val="0"/>
            <w:vAlign w:val="center"/>
          </w:tcPr>
          <w:p w14:paraId="0698CA06">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sz w:val="32"/>
                <w:szCs w:val="32"/>
              </w:rPr>
            </w:pPr>
            <w:r>
              <w:rPr>
                <w:rFonts w:hint="eastAsia" w:ascii="仿宋" w:hAnsi="仿宋" w:eastAsia="仿宋" w:cs="仿宋"/>
                <w:sz w:val="32"/>
                <w:szCs w:val="32"/>
              </w:rPr>
              <w:t>国家级</w:t>
            </w:r>
          </w:p>
          <w:p w14:paraId="375C57BC">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sz w:val="32"/>
                <w:szCs w:val="32"/>
              </w:rPr>
            </w:pPr>
            <w:r>
              <w:rPr>
                <w:rFonts w:hint="eastAsia" w:ascii="仿宋" w:hAnsi="仿宋" w:eastAsia="仿宋" w:cs="仿宋"/>
                <w:sz w:val="32"/>
                <w:szCs w:val="32"/>
              </w:rPr>
              <w:t>指令计划</w:t>
            </w:r>
          </w:p>
        </w:tc>
        <w:tc>
          <w:tcPr>
            <w:tcW w:w="2080" w:type="dxa"/>
            <w:noWrap w:val="0"/>
            <w:vAlign w:val="center"/>
          </w:tcPr>
          <w:p w14:paraId="5BC8F239">
            <w:pPr>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立项</w:t>
            </w:r>
          </w:p>
        </w:tc>
        <w:tc>
          <w:tcPr>
            <w:tcW w:w="2061" w:type="dxa"/>
            <w:noWrap w:val="0"/>
            <w:vAlign w:val="center"/>
          </w:tcPr>
          <w:p w14:paraId="76D832FE">
            <w:pPr>
              <w:jc w:val="center"/>
              <w:rPr>
                <w:rFonts w:hint="eastAsia" w:ascii="仿宋" w:hAnsi="仿宋" w:eastAsia="仿宋" w:cs="仿宋"/>
                <w:sz w:val="32"/>
                <w:szCs w:val="32"/>
                <w:lang w:val="en-US"/>
              </w:rPr>
            </w:pPr>
            <w:r>
              <w:rPr>
                <w:rFonts w:hint="eastAsia" w:ascii="仿宋" w:hAnsi="仿宋" w:eastAsia="仿宋" w:cs="仿宋"/>
                <w:sz w:val="32"/>
                <w:szCs w:val="32"/>
                <w:lang w:val="en-US" w:eastAsia="zh-CN"/>
              </w:rPr>
              <w:t>1600</w:t>
            </w:r>
          </w:p>
        </w:tc>
      </w:tr>
      <w:tr w14:paraId="6A7F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62" w:type="dxa"/>
            <w:vMerge w:val="continue"/>
            <w:noWrap w:val="0"/>
            <w:vAlign w:val="center"/>
          </w:tcPr>
          <w:p w14:paraId="1E62A22D">
            <w:pPr>
              <w:jc w:val="center"/>
              <w:rPr>
                <w:rFonts w:hint="eastAsia" w:ascii="仿宋" w:hAnsi="仿宋" w:eastAsia="仿宋" w:cs="仿宋"/>
                <w:sz w:val="32"/>
                <w:szCs w:val="32"/>
              </w:rPr>
            </w:pPr>
          </w:p>
        </w:tc>
        <w:tc>
          <w:tcPr>
            <w:tcW w:w="2560" w:type="dxa"/>
            <w:vMerge w:val="continue"/>
            <w:noWrap w:val="0"/>
            <w:vAlign w:val="center"/>
          </w:tcPr>
          <w:p w14:paraId="46455D42">
            <w:pPr>
              <w:jc w:val="center"/>
              <w:rPr>
                <w:rFonts w:hint="eastAsia" w:ascii="仿宋" w:hAnsi="仿宋" w:eastAsia="仿宋" w:cs="仿宋"/>
                <w:sz w:val="32"/>
                <w:szCs w:val="32"/>
              </w:rPr>
            </w:pPr>
          </w:p>
        </w:tc>
        <w:tc>
          <w:tcPr>
            <w:tcW w:w="1533" w:type="dxa"/>
            <w:vMerge w:val="continue"/>
            <w:noWrap w:val="0"/>
            <w:vAlign w:val="center"/>
          </w:tcPr>
          <w:p w14:paraId="5FCBE8AD">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sz w:val="32"/>
                <w:szCs w:val="32"/>
              </w:rPr>
            </w:pPr>
          </w:p>
        </w:tc>
        <w:tc>
          <w:tcPr>
            <w:tcW w:w="2080" w:type="dxa"/>
            <w:noWrap w:val="0"/>
            <w:vAlign w:val="center"/>
          </w:tcPr>
          <w:p w14:paraId="598AD4AA">
            <w:pPr>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结项</w:t>
            </w:r>
          </w:p>
        </w:tc>
        <w:tc>
          <w:tcPr>
            <w:tcW w:w="2061" w:type="dxa"/>
            <w:noWrap w:val="0"/>
            <w:vAlign w:val="center"/>
          </w:tcPr>
          <w:p w14:paraId="0005D587">
            <w:pPr>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1600</w:t>
            </w:r>
          </w:p>
        </w:tc>
      </w:tr>
      <w:tr w14:paraId="7FF9C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962" w:type="dxa"/>
            <w:vMerge w:val="continue"/>
            <w:noWrap w:val="0"/>
            <w:vAlign w:val="center"/>
          </w:tcPr>
          <w:p w14:paraId="008E5C2C">
            <w:pPr>
              <w:jc w:val="center"/>
              <w:rPr>
                <w:rFonts w:hint="eastAsia" w:ascii="仿宋" w:hAnsi="仿宋" w:eastAsia="仿宋" w:cs="仿宋"/>
                <w:sz w:val="32"/>
                <w:szCs w:val="32"/>
              </w:rPr>
            </w:pPr>
          </w:p>
        </w:tc>
        <w:tc>
          <w:tcPr>
            <w:tcW w:w="2560" w:type="dxa"/>
            <w:vMerge w:val="continue"/>
            <w:noWrap w:val="0"/>
            <w:vAlign w:val="center"/>
          </w:tcPr>
          <w:p w14:paraId="7A0E485F">
            <w:pPr>
              <w:jc w:val="center"/>
              <w:rPr>
                <w:rFonts w:hint="eastAsia" w:ascii="仿宋" w:hAnsi="仿宋" w:eastAsia="仿宋" w:cs="仿宋"/>
                <w:sz w:val="32"/>
                <w:szCs w:val="32"/>
              </w:rPr>
            </w:pPr>
          </w:p>
        </w:tc>
        <w:tc>
          <w:tcPr>
            <w:tcW w:w="1533" w:type="dxa"/>
            <w:vMerge w:val="restart"/>
            <w:noWrap w:val="0"/>
            <w:vAlign w:val="center"/>
          </w:tcPr>
          <w:p w14:paraId="62D5A36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sz w:val="32"/>
                <w:szCs w:val="32"/>
              </w:rPr>
            </w:pPr>
            <w:r>
              <w:rPr>
                <w:rFonts w:hint="eastAsia" w:ascii="仿宋" w:hAnsi="仿宋" w:eastAsia="仿宋" w:cs="仿宋"/>
                <w:sz w:val="32"/>
                <w:szCs w:val="32"/>
              </w:rPr>
              <w:t>省部级</w:t>
            </w:r>
          </w:p>
          <w:p w14:paraId="3DDC951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sz w:val="32"/>
                <w:szCs w:val="32"/>
              </w:rPr>
            </w:pPr>
            <w:r>
              <w:rPr>
                <w:rFonts w:hint="eastAsia" w:ascii="仿宋" w:hAnsi="仿宋" w:eastAsia="仿宋" w:cs="仿宋"/>
                <w:sz w:val="32"/>
                <w:szCs w:val="32"/>
              </w:rPr>
              <w:t>指令计划</w:t>
            </w:r>
          </w:p>
        </w:tc>
        <w:tc>
          <w:tcPr>
            <w:tcW w:w="2080" w:type="dxa"/>
            <w:noWrap w:val="0"/>
            <w:vAlign w:val="center"/>
          </w:tcPr>
          <w:p w14:paraId="63590F28">
            <w:pPr>
              <w:jc w:val="center"/>
              <w:rPr>
                <w:rFonts w:hint="eastAsia" w:ascii="仿宋" w:hAnsi="仿宋" w:eastAsia="仿宋" w:cs="仿宋"/>
                <w:kern w:val="2"/>
                <w:sz w:val="32"/>
                <w:szCs w:val="32"/>
                <w:lang w:val="en-US" w:eastAsia="zh-CN" w:bidi="ar-SA"/>
              </w:rPr>
            </w:pPr>
            <w:r>
              <w:rPr>
                <w:rFonts w:hint="eastAsia" w:ascii="仿宋" w:hAnsi="仿宋" w:eastAsia="仿宋" w:cs="仿宋"/>
                <w:sz w:val="32"/>
                <w:szCs w:val="32"/>
                <w:lang w:eastAsia="zh-CN"/>
              </w:rPr>
              <w:t>立项</w:t>
            </w:r>
          </w:p>
        </w:tc>
        <w:tc>
          <w:tcPr>
            <w:tcW w:w="2061" w:type="dxa"/>
            <w:noWrap w:val="0"/>
            <w:vAlign w:val="center"/>
          </w:tcPr>
          <w:p w14:paraId="4626F065">
            <w:pPr>
              <w:jc w:val="center"/>
              <w:rPr>
                <w:rFonts w:hint="eastAsia" w:ascii="仿宋" w:hAnsi="仿宋" w:eastAsia="仿宋" w:cs="仿宋"/>
                <w:sz w:val="32"/>
                <w:szCs w:val="32"/>
                <w:lang w:val="en-US"/>
              </w:rPr>
            </w:pPr>
            <w:r>
              <w:rPr>
                <w:rFonts w:hint="eastAsia" w:ascii="仿宋" w:hAnsi="仿宋" w:eastAsia="仿宋" w:cs="仿宋"/>
                <w:sz w:val="32"/>
                <w:szCs w:val="32"/>
                <w:lang w:val="en-US" w:eastAsia="zh-CN"/>
              </w:rPr>
              <w:t>60</w:t>
            </w:r>
          </w:p>
        </w:tc>
      </w:tr>
      <w:tr w14:paraId="2B7FF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962" w:type="dxa"/>
            <w:vMerge w:val="continue"/>
            <w:noWrap w:val="0"/>
            <w:vAlign w:val="center"/>
          </w:tcPr>
          <w:p w14:paraId="1E08266F">
            <w:pPr>
              <w:jc w:val="center"/>
              <w:rPr>
                <w:rFonts w:hint="eastAsia" w:ascii="仿宋" w:hAnsi="仿宋" w:eastAsia="仿宋" w:cs="仿宋"/>
                <w:sz w:val="32"/>
                <w:szCs w:val="32"/>
              </w:rPr>
            </w:pPr>
          </w:p>
        </w:tc>
        <w:tc>
          <w:tcPr>
            <w:tcW w:w="2560" w:type="dxa"/>
            <w:vMerge w:val="continue"/>
            <w:noWrap w:val="0"/>
            <w:vAlign w:val="center"/>
          </w:tcPr>
          <w:p w14:paraId="3E4A8C14">
            <w:pPr>
              <w:jc w:val="center"/>
              <w:rPr>
                <w:rFonts w:hint="eastAsia" w:ascii="仿宋" w:hAnsi="仿宋" w:eastAsia="仿宋" w:cs="仿宋"/>
                <w:sz w:val="32"/>
                <w:szCs w:val="32"/>
              </w:rPr>
            </w:pPr>
          </w:p>
        </w:tc>
        <w:tc>
          <w:tcPr>
            <w:tcW w:w="1533" w:type="dxa"/>
            <w:vMerge w:val="continue"/>
            <w:noWrap w:val="0"/>
            <w:vAlign w:val="center"/>
          </w:tcPr>
          <w:p w14:paraId="5DB8F06B">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sz w:val="32"/>
                <w:szCs w:val="32"/>
              </w:rPr>
            </w:pPr>
          </w:p>
        </w:tc>
        <w:tc>
          <w:tcPr>
            <w:tcW w:w="2080" w:type="dxa"/>
            <w:noWrap w:val="0"/>
            <w:vAlign w:val="center"/>
          </w:tcPr>
          <w:p w14:paraId="20327FE1">
            <w:pPr>
              <w:jc w:val="center"/>
              <w:rPr>
                <w:rFonts w:hint="eastAsia" w:ascii="仿宋" w:hAnsi="仿宋" w:eastAsia="仿宋" w:cs="仿宋"/>
                <w:kern w:val="2"/>
                <w:sz w:val="32"/>
                <w:szCs w:val="32"/>
                <w:lang w:val="en-US" w:eastAsia="zh-CN" w:bidi="ar-SA"/>
              </w:rPr>
            </w:pPr>
            <w:r>
              <w:rPr>
                <w:rFonts w:hint="eastAsia" w:ascii="仿宋" w:hAnsi="仿宋" w:eastAsia="仿宋" w:cs="仿宋"/>
                <w:sz w:val="32"/>
                <w:szCs w:val="32"/>
                <w:lang w:eastAsia="zh-CN"/>
              </w:rPr>
              <w:t>结项</w:t>
            </w:r>
          </w:p>
        </w:tc>
        <w:tc>
          <w:tcPr>
            <w:tcW w:w="2061" w:type="dxa"/>
            <w:noWrap w:val="0"/>
            <w:vAlign w:val="center"/>
          </w:tcPr>
          <w:p w14:paraId="3437E600">
            <w:pPr>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60</w:t>
            </w:r>
          </w:p>
        </w:tc>
      </w:tr>
      <w:tr w14:paraId="13C7E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962" w:type="dxa"/>
            <w:vMerge w:val="continue"/>
            <w:noWrap w:val="0"/>
            <w:vAlign w:val="center"/>
          </w:tcPr>
          <w:p w14:paraId="1B286B7A">
            <w:pPr>
              <w:jc w:val="center"/>
              <w:rPr>
                <w:rFonts w:hint="eastAsia" w:ascii="仿宋" w:hAnsi="仿宋" w:eastAsia="仿宋" w:cs="仿宋"/>
                <w:sz w:val="32"/>
                <w:szCs w:val="32"/>
              </w:rPr>
            </w:pPr>
          </w:p>
        </w:tc>
        <w:tc>
          <w:tcPr>
            <w:tcW w:w="2560" w:type="dxa"/>
            <w:vMerge w:val="continue"/>
            <w:noWrap w:val="0"/>
            <w:vAlign w:val="center"/>
          </w:tcPr>
          <w:p w14:paraId="7E11A0F7">
            <w:pPr>
              <w:jc w:val="center"/>
              <w:rPr>
                <w:rFonts w:hint="eastAsia" w:ascii="仿宋" w:hAnsi="仿宋" w:eastAsia="仿宋" w:cs="仿宋"/>
                <w:sz w:val="32"/>
                <w:szCs w:val="32"/>
              </w:rPr>
            </w:pPr>
          </w:p>
        </w:tc>
        <w:tc>
          <w:tcPr>
            <w:tcW w:w="1533" w:type="dxa"/>
            <w:vMerge w:val="restart"/>
            <w:noWrap w:val="0"/>
            <w:vAlign w:val="center"/>
          </w:tcPr>
          <w:p w14:paraId="76C11EE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sz w:val="32"/>
                <w:szCs w:val="32"/>
              </w:rPr>
            </w:pPr>
            <w:r>
              <w:rPr>
                <w:rFonts w:hint="eastAsia" w:ascii="仿宋" w:hAnsi="仿宋" w:eastAsia="仿宋" w:cs="仿宋"/>
                <w:sz w:val="32"/>
                <w:szCs w:val="32"/>
              </w:rPr>
              <w:t>到账20万元（含）以上横向项目</w:t>
            </w:r>
          </w:p>
        </w:tc>
        <w:tc>
          <w:tcPr>
            <w:tcW w:w="2080" w:type="dxa"/>
            <w:noWrap w:val="0"/>
            <w:vAlign w:val="center"/>
          </w:tcPr>
          <w:p w14:paraId="55967B68">
            <w:pPr>
              <w:jc w:val="center"/>
              <w:rPr>
                <w:rFonts w:hint="eastAsia" w:ascii="仿宋" w:hAnsi="仿宋" w:eastAsia="仿宋" w:cs="仿宋"/>
                <w:kern w:val="2"/>
                <w:sz w:val="32"/>
                <w:szCs w:val="32"/>
                <w:lang w:val="en-US" w:eastAsia="zh-CN" w:bidi="ar-SA"/>
              </w:rPr>
            </w:pPr>
            <w:r>
              <w:rPr>
                <w:rFonts w:hint="eastAsia" w:ascii="仿宋" w:hAnsi="仿宋" w:eastAsia="仿宋" w:cs="仿宋"/>
                <w:sz w:val="32"/>
                <w:szCs w:val="32"/>
                <w:lang w:eastAsia="zh-CN"/>
              </w:rPr>
              <w:t>立项</w:t>
            </w:r>
          </w:p>
        </w:tc>
        <w:tc>
          <w:tcPr>
            <w:tcW w:w="2061" w:type="dxa"/>
            <w:noWrap w:val="0"/>
            <w:vAlign w:val="center"/>
          </w:tcPr>
          <w:p w14:paraId="4B2450B4">
            <w:pPr>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400</w:t>
            </w:r>
          </w:p>
        </w:tc>
      </w:tr>
      <w:tr w14:paraId="292F5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962" w:type="dxa"/>
            <w:vMerge w:val="continue"/>
            <w:noWrap w:val="0"/>
            <w:vAlign w:val="center"/>
          </w:tcPr>
          <w:p w14:paraId="7591A64C">
            <w:pPr>
              <w:jc w:val="center"/>
              <w:rPr>
                <w:rFonts w:hint="eastAsia" w:ascii="仿宋" w:hAnsi="仿宋" w:eastAsia="仿宋" w:cs="仿宋"/>
                <w:sz w:val="32"/>
                <w:szCs w:val="32"/>
              </w:rPr>
            </w:pPr>
          </w:p>
        </w:tc>
        <w:tc>
          <w:tcPr>
            <w:tcW w:w="2560" w:type="dxa"/>
            <w:vMerge w:val="continue"/>
            <w:noWrap w:val="0"/>
            <w:vAlign w:val="center"/>
          </w:tcPr>
          <w:p w14:paraId="410D621D">
            <w:pPr>
              <w:jc w:val="center"/>
              <w:rPr>
                <w:rFonts w:hint="eastAsia" w:ascii="仿宋" w:hAnsi="仿宋" w:eastAsia="仿宋" w:cs="仿宋"/>
                <w:sz w:val="32"/>
                <w:szCs w:val="32"/>
              </w:rPr>
            </w:pPr>
          </w:p>
        </w:tc>
        <w:tc>
          <w:tcPr>
            <w:tcW w:w="1533" w:type="dxa"/>
            <w:vMerge w:val="continue"/>
            <w:noWrap w:val="0"/>
            <w:vAlign w:val="center"/>
          </w:tcPr>
          <w:p w14:paraId="51C29F3D">
            <w:pPr>
              <w:jc w:val="center"/>
              <w:rPr>
                <w:rFonts w:hint="eastAsia" w:ascii="仿宋" w:hAnsi="仿宋" w:eastAsia="仿宋" w:cs="仿宋"/>
                <w:sz w:val="32"/>
                <w:szCs w:val="32"/>
              </w:rPr>
            </w:pPr>
          </w:p>
        </w:tc>
        <w:tc>
          <w:tcPr>
            <w:tcW w:w="2080" w:type="dxa"/>
            <w:noWrap w:val="0"/>
            <w:vAlign w:val="center"/>
          </w:tcPr>
          <w:p w14:paraId="1127409A">
            <w:pPr>
              <w:jc w:val="center"/>
              <w:rPr>
                <w:rFonts w:hint="eastAsia" w:ascii="仿宋" w:hAnsi="仿宋" w:eastAsia="仿宋" w:cs="仿宋"/>
                <w:kern w:val="2"/>
                <w:sz w:val="32"/>
                <w:szCs w:val="32"/>
                <w:lang w:val="en-US" w:eastAsia="zh-CN" w:bidi="ar-SA"/>
              </w:rPr>
            </w:pPr>
            <w:r>
              <w:rPr>
                <w:rFonts w:hint="eastAsia" w:ascii="仿宋" w:hAnsi="仿宋" w:eastAsia="仿宋" w:cs="仿宋"/>
                <w:sz w:val="32"/>
                <w:szCs w:val="32"/>
                <w:lang w:eastAsia="zh-CN"/>
              </w:rPr>
              <w:t>结项</w:t>
            </w:r>
          </w:p>
        </w:tc>
        <w:tc>
          <w:tcPr>
            <w:tcW w:w="2061" w:type="dxa"/>
            <w:noWrap w:val="0"/>
            <w:vAlign w:val="center"/>
          </w:tcPr>
          <w:p w14:paraId="75C127AF">
            <w:pPr>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400</w:t>
            </w:r>
          </w:p>
        </w:tc>
      </w:tr>
      <w:tr w14:paraId="4F331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trPr>
        <w:tc>
          <w:tcPr>
            <w:tcW w:w="962" w:type="dxa"/>
            <w:noWrap w:val="0"/>
            <w:vAlign w:val="center"/>
          </w:tcPr>
          <w:p w14:paraId="3D096BD7">
            <w:pPr>
              <w:jc w:val="center"/>
              <w:rPr>
                <w:rFonts w:hint="eastAsia" w:ascii="仿宋" w:hAnsi="仿宋" w:eastAsia="仿宋" w:cs="仿宋"/>
                <w:sz w:val="32"/>
                <w:szCs w:val="32"/>
              </w:rPr>
            </w:pPr>
            <w:r>
              <w:rPr>
                <w:rFonts w:hint="eastAsia" w:ascii="仿宋" w:hAnsi="仿宋" w:eastAsia="仿宋" w:cs="仿宋"/>
                <w:sz w:val="32"/>
                <w:szCs w:val="32"/>
              </w:rPr>
              <w:t>3</w:t>
            </w:r>
          </w:p>
        </w:tc>
        <w:tc>
          <w:tcPr>
            <w:tcW w:w="2560" w:type="dxa"/>
            <w:noWrap w:val="0"/>
            <w:vAlign w:val="center"/>
          </w:tcPr>
          <w:p w14:paraId="6F5F518A">
            <w:pPr>
              <w:jc w:val="center"/>
              <w:rPr>
                <w:rFonts w:hint="eastAsia" w:ascii="仿宋" w:hAnsi="仿宋" w:eastAsia="仿宋" w:cs="仿宋"/>
                <w:sz w:val="32"/>
                <w:szCs w:val="32"/>
              </w:rPr>
            </w:pPr>
            <w:r>
              <w:rPr>
                <w:rFonts w:hint="eastAsia" w:ascii="仿宋" w:hAnsi="仿宋" w:eastAsia="仿宋" w:cs="仿宋"/>
                <w:sz w:val="32"/>
                <w:szCs w:val="32"/>
              </w:rPr>
              <w:t>学术论文</w:t>
            </w:r>
          </w:p>
        </w:tc>
        <w:tc>
          <w:tcPr>
            <w:tcW w:w="3613" w:type="dxa"/>
            <w:gridSpan w:val="2"/>
            <w:noWrap w:val="0"/>
            <w:vAlign w:val="center"/>
          </w:tcPr>
          <w:p w14:paraId="2D7084E7">
            <w:pPr>
              <w:jc w:val="center"/>
              <w:rPr>
                <w:rFonts w:hint="eastAsia" w:ascii="仿宋" w:hAnsi="仿宋" w:eastAsia="仿宋" w:cs="仿宋"/>
                <w:sz w:val="32"/>
                <w:szCs w:val="32"/>
              </w:rPr>
            </w:pPr>
            <w:r>
              <w:rPr>
                <w:rFonts w:hint="eastAsia" w:ascii="仿宋" w:hAnsi="仿宋" w:eastAsia="仿宋" w:cs="仿宋"/>
                <w:sz w:val="32"/>
                <w:szCs w:val="32"/>
              </w:rPr>
              <w:t>北大核心期刊</w:t>
            </w:r>
          </w:p>
        </w:tc>
        <w:tc>
          <w:tcPr>
            <w:tcW w:w="2061" w:type="dxa"/>
            <w:noWrap w:val="0"/>
            <w:vAlign w:val="center"/>
          </w:tcPr>
          <w:p w14:paraId="18CBA01A">
            <w:pPr>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120</w:t>
            </w:r>
          </w:p>
        </w:tc>
      </w:tr>
      <w:tr w14:paraId="0A267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noWrap w:val="0"/>
            <w:vAlign w:val="center"/>
          </w:tcPr>
          <w:p w14:paraId="06BA1014">
            <w:pPr>
              <w:jc w:val="center"/>
              <w:rPr>
                <w:rFonts w:hint="eastAsia" w:ascii="仿宋" w:hAnsi="仿宋" w:eastAsia="仿宋" w:cs="仿宋"/>
                <w:sz w:val="32"/>
                <w:szCs w:val="32"/>
                <w:lang w:eastAsia="zh-CN"/>
              </w:rPr>
            </w:pPr>
            <w:r>
              <w:rPr>
                <w:rFonts w:hint="eastAsia" w:ascii="仿宋" w:hAnsi="仿宋" w:eastAsia="仿宋" w:cs="仿宋"/>
                <w:sz w:val="32"/>
                <w:szCs w:val="32"/>
                <w:lang w:val="en-US" w:eastAsia="zh-CN"/>
              </w:rPr>
              <w:t>4</w:t>
            </w:r>
          </w:p>
        </w:tc>
        <w:tc>
          <w:tcPr>
            <w:tcW w:w="2560" w:type="dxa"/>
            <w:noWrap w:val="0"/>
            <w:vAlign w:val="center"/>
          </w:tcPr>
          <w:p w14:paraId="0861EF1B">
            <w:pPr>
              <w:jc w:val="center"/>
              <w:rPr>
                <w:rFonts w:hint="eastAsia" w:ascii="仿宋" w:hAnsi="仿宋" w:eastAsia="仿宋" w:cs="仿宋"/>
                <w:sz w:val="32"/>
                <w:szCs w:val="32"/>
              </w:rPr>
            </w:pPr>
            <w:r>
              <w:rPr>
                <w:rFonts w:hint="eastAsia" w:ascii="仿宋" w:hAnsi="仿宋" w:eastAsia="仿宋" w:cs="仿宋"/>
                <w:sz w:val="32"/>
                <w:szCs w:val="32"/>
                <w:lang w:eastAsia="zh-CN"/>
              </w:rPr>
              <w:t>教研</w:t>
            </w:r>
            <w:r>
              <w:rPr>
                <w:rFonts w:hint="eastAsia" w:ascii="仿宋" w:hAnsi="仿宋" w:eastAsia="仿宋" w:cs="仿宋"/>
                <w:sz w:val="32"/>
                <w:szCs w:val="32"/>
              </w:rPr>
              <w:t>著作</w:t>
            </w:r>
          </w:p>
        </w:tc>
        <w:tc>
          <w:tcPr>
            <w:tcW w:w="3613" w:type="dxa"/>
            <w:gridSpan w:val="2"/>
            <w:noWrap w:val="0"/>
            <w:vAlign w:val="center"/>
          </w:tcPr>
          <w:p w14:paraId="7CB56033">
            <w:pPr>
              <w:jc w:val="center"/>
              <w:rPr>
                <w:rFonts w:hint="eastAsia" w:ascii="仿宋" w:hAnsi="仿宋" w:eastAsia="仿宋" w:cs="仿宋"/>
                <w:sz w:val="32"/>
                <w:szCs w:val="32"/>
              </w:rPr>
            </w:pPr>
            <w:r>
              <w:rPr>
                <w:rFonts w:hint="eastAsia" w:ascii="仿宋" w:hAnsi="仿宋" w:eastAsia="仿宋" w:cs="仿宋"/>
                <w:sz w:val="32"/>
                <w:szCs w:val="32"/>
              </w:rPr>
              <w:t>第一作者且15万字以上</w:t>
            </w:r>
          </w:p>
        </w:tc>
        <w:tc>
          <w:tcPr>
            <w:tcW w:w="2061" w:type="dxa"/>
            <w:noWrap w:val="0"/>
            <w:vAlign w:val="center"/>
          </w:tcPr>
          <w:p w14:paraId="4BFBA439">
            <w:pPr>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1200</w:t>
            </w:r>
          </w:p>
        </w:tc>
      </w:tr>
      <w:tr w14:paraId="16E9D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Merge w:val="restart"/>
            <w:noWrap w:val="0"/>
            <w:vAlign w:val="center"/>
          </w:tcPr>
          <w:p w14:paraId="4C569925">
            <w:pPr>
              <w:jc w:val="center"/>
              <w:rPr>
                <w:rFonts w:hint="eastAsia" w:ascii="仿宋" w:hAnsi="仿宋" w:eastAsia="仿宋" w:cs="仿宋"/>
                <w:sz w:val="32"/>
                <w:szCs w:val="32"/>
                <w:lang w:eastAsia="zh-CN"/>
              </w:rPr>
            </w:pPr>
            <w:r>
              <w:rPr>
                <w:rFonts w:hint="eastAsia" w:ascii="仿宋" w:hAnsi="仿宋" w:eastAsia="仿宋" w:cs="仿宋"/>
                <w:sz w:val="32"/>
                <w:szCs w:val="32"/>
                <w:lang w:val="en-US" w:eastAsia="zh-CN"/>
              </w:rPr>
              <w:t>5</w:t>
            </w:r>
          </w:p>
        </w:tc>
        <w:tc>
          <w:tcPr>
            <w:tcW w:w="2560" w:type="dxa"/>
            <w:vMerge w:val="restart"/>
            <w:noWrap w:val="0"/>
            <w:vAlign w:val="center"/>
          </w:tcPr>
          <w:p w14:paraId="4BB892CA">
            <w:pPr>
              <w:jc w:val="center"/>
              <w:rPr>
                <w:rFonts w:hint="eastAsia" w:ascii="仿宋" w:hAnsi="仿宋" w:eastAsia="仿宋" w:cs="仿宋"/>
                <w:sz w:val="32"/>
                <w:szCs w:val="32"/>
              </w:rPr>
            </w:pPr>
            <w:r>
              <w:rPr>
                <w:rFonts w:hint="eastAsia" w:ascii="仿宋" w:hAnsi="仿宋" w:eastAsia="仿宋" w:cs="仿宋"/>
                <w:sz w:val="32"/>
                <w:szCs w:val="32"/>
              </w:rPr>
              <w:t>教育部规划教材</w:t>
            </w:r>
          </w:p>
        </w:tc>
        <w:tc>
          <w:tcPr>
            <w:tcW w:w="3613" w:type="dxa"/>
            <w:gridSpan w:val="2"/>
            <w:noWrap w:val="0"/>
            <w:vAlign w:val="center"/>
          </w:tcPr>
          <w:p w14:paraId="6DEFF14F">
            <w:pPr>
              <w:jc w:val="center"/>
              <w:rPr>
                <w:rFonts w:hint="eastAsia" w:ascii="仿宋" w:hAnsi="仿宋" w:eastAsia="仿宋" w:cs="仿宋"/>
                <w:sz w:val="32"/>
                <w:szCs w:val="32"/>
              </w:rPr>
            </w:pPr>
            <w:r>
              <w:rPr>
                <w:rFonts w:hint="eastAsia" w:ascii="仿宋" w:hAnsi="仿宋" w:eastAsia="仿宋" w:cs="仿宋"/>
                <w:sz w:val="32"/>
                <w:szCs w:val="32"/>
              </w:rPr>
              <w:t>主编</w:t>
            </w:r>
          </w:p>
        </w:tc>
        <w:tc>
          <w:tcPr>
            <w:tcW w:w="2061" w:type="dxa"/>
            <w:noWrap w:val="0"/>
            <w:vAlign w:val="center"/>
          </w:tcPr>
          <w:p w14:paraId="571CD60D">
            <w:pPr>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800</w:t>
            </w:r>
          </w:p>
        </w:tc>
      </w:tr>
      <w:tr w14:paraId="6110E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Merge w:val="continue"/>
            <w:noWrap w:val="0"/>
            <w:vAlign w:val="center"/>
          </w:tcPr>
          <w:p w14:paraId="44ECB68D">
            <w:pPr>
              <w:jc w:val="center"/>
              <w:rPr>
                <w:rFonts w:hint="eastAsia" w:ascii="仿宋" w:hAnsi="仿宋" w:eastAsia="仿宋" w:cs="仿宋"/>
                <w:sz w:val="32"/>
                <w:szCs w:val="32"/>
              </w:rPr>
            </w:pPr>
          </w:p>
        </w:tc>
        <w:tc>
          <w:tcPr>
            <w:tcW w:w="2560" w:type="dxa"/>
            <w:vMerge w:val="continue"/>
            <w:noWrap w:val="0"/>
            <w:vAlign w:val="center"/>
          </w:tcPr>
          <w:p w14:paraId="31D15FA5">
            <w:pPr>
              <w:jc w:val="center"/>
              <w:rPr>
                <w:rFonts w:hint="eastAsia" w:ascii="仿宋" w:hAnsi="仿宋" w:eastAsia="仿宋" w:cs="仿宋"/>
                <w:sz w:val="32"/>
                <w:szCs w:val="32"/>
              </w:rPr>
            </w:pPr>
          </w:p>
        </w:tc>
        <w:tc>
          <w:tcPr>
            <w:tcW w:w="3613" w:type="dxa"/>
            <w:gridSpan w:val="2"/>
            <w:noWrap w:val="0"/>
            <w:vAlign w:val="center"/>
          </w:tcPr>
          <w:p w14:paraId="6D89F5D0">
            <w:pPr>
              <w:jc w:val="center"/>
              <w:rPr>
                <w:rFonts w:hint="eastAsia" w:ascii="仿宋" w:hAnsi="仿宋" w:eastAsia="仿宋" w:cs="仿宋"/>
                <w:sz w:val="32"/>
                <w:szCs w:val="32"/>
              </w:rPr>
            </w:pPr>
            <w:r>
              <w:rPr>
                <w:rFonts w:hint="eastAsia" w:ascii="仿宋" w:hAnsi="仿宋" w:eastAsia="仿宋" w:cs="仿宋"/>
                <w:sz w:val="32"/>
                <w:szCs w:val="32"/>
              </w:rPr>
              <w:t>副主编</w:t>
            </w:r>
          </w:p>
        </w:tc>
        <w:tc>
          <w:tcPr>
            <w:tcW w:w="2061" w:type="dxa"/>
            <w:noWrap w:val="0"/>
            <w:vAlign w:val="center"/>
          </w:tcPr>
          <w:p w14:paraId="00EC4D96">
            <w:pPr>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400</w:t>
            </w:r>
          </w:p>
        </w:tc>
      </w:tr>
      <w:tr w14:paraId="62283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962" w:type="dxa"/>
            <w:vMerge w:val="continue"/>
            <w:noWrap w:val="0"/>
            <w:vAlign w:val="center"/>
          </w:tcPr>
          <w:p w14:paraId="55C70661">
            <w:pPr>
              <w:jc w:val="center"/>
              <w:rPr>
                <w:rFonts w:hint="eastAsia" w:ascii="仿宋" w:hAnsi="仿宋" w:eastAsia="仿宋" w:cs="仿宋"/>
                <w:sz w:val="32"/>
                <w:szCs w:val="32"/>
              </w:rPr>
            </w:pPr>
          </w:p>
        </w:tc>
        <w:tc>
          <w:tcPr>
            <w:tcW w:w="2560" w:type="dxa"/>
            <w:vMerge w:val="continue"/>
            <w:noWrap w:val="0"/>
            <w:vAlign w:val="center"/>
          </w:tcPr>
          <w:p w14:paraId="64280FD5">
            <w:pPr>
              <w:jc w:val="center"/>
              <w:rPr>
                <w:rFonts w:hint="eastAsia" w:ascii="仿宋" w:hAnsi="仿宋" w:eastAsia="仿宋" w:cs="仿宋"/>
                <w:sz w:val="32"/>
                <w:szCs w:val="32"/>
              </w:rPr>
            </w:pPr>
          </w:p>
        </w:tc>
        <w:tc>
          <w:tcPr>
            <w:tcW w:w="3613" w:type="dxa"/>
            <w:gridSpan w:val="2"/>
            <w:noWrap w:val="0"/>
            <w:vAlign w:val="center"/>
          </w:tcPr>
          <w:p w14:paraId="30AE2E8E">
            <w:pPr>
              <w:jc w:val="center"/>
              <w:rPr>
                <w:rFonts w:hint="eastAsia" w:ascii="仿宋" w:hAnsi="仿宋" w:eastAsia="仿宋" w:cs="仿宋"/>
                <w:sz w:val="32"/>
                <w:szCs w:val="32"/>
              </w:rPr>
            </w:pPr>
            <w:r>
              <w:rPr>
                <w:rFonts w:hint="eastAsia" w:ascii="仿宋" w:hAnsi="仿宋" w:eastAsia="仿宋" w:cs="仿宋"/>
                <w:sz w:val="32"/>
                <w:szCs w:val="32"/>
              </w:rPr>
              <w:t>参编</w:t>
            </w:r>
          </w:p>
        </w:tc>
        <w:tc>
          <w:tcPr>
            <w:tcW w:w="2061" w:type="dxa"/>
            <w:noWrap w:val="0"/>
            <w:vAlign w:val="center"/>
          </w:tcPr>
          <w:p w14:paraId="3B875E37">
            <w:pPr>
              <w:jc w:val="cente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200</w:t>
            </w:r>
          </w:p>
        </w:tc>
      </w:tr>
    </w:tbl>
    <w:p w14:paraId="4173BE17">
      <w:pPr>
        <w:keepNext w:val="0"/>
        <w:keepLines w:val="0"/>
        <w:pageBreakBefore w:val="0"/>
        <w:widowControl w:val="0"/>
        <w:kinsoku/>
        <w:wordWrap/>
        <w:overflowPunct/>
        <w:topLinePunct w:val="0"/>
        <w:autoSpaceDE/>
        <w:autoSpaceDN/>
        <w:bidi w:val="0"/>
        <w:adjustRightInd/>
        <w:snapToGrid/>
        <w:spacing w:line="620" w:lineRule="exact"/>
        <w:jc w:val="left"/>
        <w:textAlignment w:val="auto"/>
        <w:rPr>
          <w:rFonts w:hint="eastAsia" w:ascii="黑体" w:hAnsi="黑体" w:eastAsia="黑体" w:cs="黑体"/>
          <w:sz w:val="32"/>
          <w:szCs w:val="32"/>
          <w:lang w:val="en-US" w:eastAsia="zh-CN"/>
        </w:rPr>
      </w:pPr>
    </w:p>
    <w:p w14:paraId="2BC2349E"/>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F847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0FABE2">
                          <w:pPr>
                            <w:pStyle w:val="3"/>
                          </w:pPr>
                          <w: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t>—</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4E0FABE2">
                    <w:pPr>
                      <w:pStyle w:val="3"/>
                    </w:pPr>
                    <w: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AE0BD2"/>
    <w:rsid w:val="03D951E0"/>
    <w:rsid w:val="4B5F0E37"/>
    <w:rsid w:val="51AE0B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31"/>
      <w:szCs w:val="31"/>
      <w:lang w:val="en-US" w:eastAsia="en-US" w:bidi="ar-SA"/>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2025-07-20T02:05:00Z</dcterms:created>
  <dc:creator>杜春梅</dc:creator>
  <cp:lastModifiedBy>杜春梅</cp:lastModifiedBy>
  <dcterms:modified xsi:type="dcterms:W3CDTF">2025-07-20T02:08:21Z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3472F5CF2024410CA8921987AED437E4_13</vt:lpwstr>
  </property>
  <property fmtid="{D5CDD505-2E9C-101B-9397-08002B2CF9AE}" pid="4" name="KSOTemplateDocerSaveRecord">
    <vt:lpwstr>eyJoZGlkIjoiOGY4ODMwOWI2ZDE2OWVjY2Y4YWZhZDdhYzI3MTc2NzUiLCJ1c2VySWQiOiIxNjE0NzAwODUzIn0=</vt:lpwstr>
  </property>
</Properties>
</file>