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B64EA">
      <w:pPr>
        <w:jc w:val="center"/>
        <w:rPr>
          <w:rFonts w:hint="default" w:eastAsia="宋体"/>
          <w:b/>
          <w:color w:val="FF0000"/>
          <w:sz w:val="44"/>
          <w:szCs w:val="44"/>
          <w:lang w:val="en-US" w:eastAsia="zh-CN"/>
        </w:rPr>
      </w:pPr>
    </w:p>
    <w:p w14:paraId="1DD12CEC">
      <w:pPr>
        <w:jc w:val="center"/>
        <w:rPr>
          <w:rFonts w:hint="default" w:eastAsia="宋体"/>
          <w:b/>
          <w:color w:val="FF0000"/>
          <w:sz w:val="44"/>
          <w:szCs w:val="44"/>
          <w:lang w:val="en-US" w:eastAsia="zh-CN"/>
        </w:rPr>
      </w:pPr>
    </w:p>
    <w:p w14:paraId="6713081B">
      <w:pPr>
        <w:jc w:val="center"/>
        <w:rPr>
          <w:rFonts w:hint="default" w:eastAsia="宋体"/>
          <w:b/>
          <w:color w:val="FF0000"/>
          <w:sz w:val="44"/>
          <w:szCs w:val="44"/>
          <w:lang w:val="en-US" w:eastAsia="zh-CN"/>
        </w:rPr>
      </w:pPr>
    </w:p>
    <w:p w14:paraId="6FB335D9">
      <w:pPr>
        <w:jc w:val="center"/>
        <w:rPr>
          <w:rFonts w:hint="default" w:eastAsia="宋体"/>
          <w:b/>
          <w:color w:val="FF0000"/>
          <w:sz w:val="44"/>
          <w:szCs w:val="44"/>
          <w:lang w:val="en-US" w:eastAsia="zh-CN"/>
        </w:rPr>
      </w:pPr>
    </w:p>
    <w:p w14:paraId="0B1C621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1F6F2AB6">
      <w:pPr>
        <w:ind w:firstLine="270" w:firstLineChars="100"/>
        <w:jc w:val="both"/>
        <w:rPr>
          <w:rFonts w:hint="eastAsia" w:ascii="宋体" w:hAnsi="宋体"/>
          <w:color w:val="000000"/>
          <w:sz w:val="27"/>
          <w:szCs w:val="27"/>
        </w:rPr>
      </w:pPr>
    </w:p>
    <w:p w14:paraId="4E42D266">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86</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03768688">
      <w:pPr>
        <w:jc w:val="center"/>
        <w:rPr>
          <w:rFonts w:hint="eastAsia"/>
          <w:szCs w:val="21"/>
        </w:rPr>
      </w:pPr>
    </w:p>
    <w:p w14:paraId="09BD1D7F">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1"/>
          <w:sz w:val="44"/>
          <w:szCs w:val="44"/>
          <w:lang w:val="en-US" w:eastAsia="zh-CN"/>
        </w:rPr>
      </w:pPr>
      <w:r>
        <w:rPr>
          <w:rFonts w:hint="eastAsia" w:ascii="宋体" w:hAnsi="宋体"/>
          <w:b/>
          <w:bCs/>
          <w:spacing w:val="-11"/>
          <w:sz w:val="44"/>
          <w:szCs w:val="44"/>
          <w:lang w:val="en-US" w:eastAsia="zh-CN"/>
        </w:rPr>
        <w:t>关于印发《河北建筑工程学院</w:t>
      </w:r>
    </w:p>
    <w:p w14:paraId="2DF68CEF">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11"/>
          <w:sz w:val="44"/>
          <w:szCs w:val="44"/>
          <w:lang w:val="en-US" w:eastAsia="zh-CN"/>
        </w:rPr>
      </w:pPr>
      <w:r>
        <w:rPr>
          <w:rFonts w:hint="eastAsia" w:ascii="宋体" w:hAnsi="宋体"/>
          <w:b/>
          <w:bCs/>
          <w:spacing w:val="-11"/>
          <w:sz w:val="44"/>
          <w:szCs w:val="44"/>
          <w:lang w:val="en-US" w:eastAsia="zh-CN"/>
        </w:rPr>
        <w:t>内部控制评价办法（试行）》的通知</w:t>
      </w:r>
    </w:p>
    <w:p w14:paraId="7504BBF8">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p>
    <w:p w14:paraId="03D109BD">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7A05D321">
      <w:pPr>
        <w:keepNext w:val="0"/>
        <w:keepLines w:val="0"/>
        <w:pageBreakBefore w:val="0"/>
        <w:widowControl w:val="0"/>
        <w:kinsoku/>
        <w:wordWrap/>
        <w:overflowPunct/>
        <w:topLinePunct w:val="0"/>
        <w:autoSpaceDE/>
        <w:autoSpaceDN/>
        <w:bidi w:val="0"/>
        <w:adjustRightInd/>
        <w:snapToGrid/>
        <w:spacing w:before="157" w:beforeLines="50" w:after="313" w:afterLines="100" w:line="500" w:lineRule="exact"/>
        <w:ind w:firstLine="640" w:firstLineChars="200"/>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为规范内部控制评价工作，促进内部控制的持续改进，不断提升内部控制有效性，根据</w:t>
      </w:r>
      <w:r>
        <w:rPr>
          <w:rFonts w:hint="eastAsia" w:ascii="仿宋" w:hAnsi="仿宋" w:eastAsia="仿宋" w:cs="仿宋"/>
          <w:sz w:val="32"/>
          <w:szCs w:val="32"/>
          <w:lang w:val="en-US" w:eastAsia="zh-CN"/>
        </w:rPr>
        <w:t>相关法规和上级文件，</w:t>
      </w:r>
      <w:r>
        <w:rPr>
          <w:rFonts w:hint="eastAsia" w:ascii="仿宋" w:hAnsi="仿宋" w:eastAsia="仿宋" w:cs="仿宋"/>
          <w:sz w:val="32"/>
          <w:szCs w:val="32"/>
          <w:lang w:eastAsia="zh-CN"/>
        </w:rPr>
        <w:t>结合学校实际，</w:t>
      </w:r>
      <w:r>
        <w:rPr>
          <w:rFonts w:hint="eastAsia" w:ascii="仿宋" w:hAnsi="仿宋" w:eastAsia="仿宋" w:cs="仿宋"/>
          <w:sz w:val="32"/>
          <w:szCs w:val="32"/>
          <w:lang w:val="en-US" w:eastAsia="zh-CN"/>
        </w:rPr>
        <w:t>特制</w:t>
      </w:r>
      <w:r>
        <w:rPr>
          <w:rFonts w:hint="eastAsia" w:ascii="仿宋" w:hAnsi="仿宋" w:eastAsia="仿宋" w:cs="仿宋"/>
          <w:sz w:val="32"/>
          <w:szCs w:val="32"/>
          <w:lang w:eastAsia="zh-CN"/>
        </w:rPr>
        <w:t>定《河北建筑工程学院内部控制评价办法（试行）》，</w:t>
      </w:r>
      <w:r>
        <w:rPr>
          <w:rFonts w:hint="eastAsia" w:ascii="仿宋" w:hAnsi="仿宋" w:eastAsia="仿宋" w:cs="仿宋"/>
          <w:sz w:val="32"/>
          <w:szCs w:val="32"/>
          <w:lang w:val="en-US" w:eastAsia="zh-CN"/>
        </w:rPr>
        <w:t>现印发给你们，请遵照执行。</w:t>
      </w:r>
    </w:p>
    <w:p w14:paraId="124923C3">
      <w:pPr>
        <w:keepNext w:val="0"/>
        <w:keepLines w:val="0"/>
        <w:pageBreakBefore w:val="0"/>
        <w:widowControl w:val="0"/>
        <w:kinsoku/>
        <w:wordWrap/>
        <w:overflowPunct/>
        <w:topLinePunct w:val="0"/>
        <w:autoSpaceDE/>
        <w:autoSpaceDN/>
        <w:bidi w:val="0"/>
        <w:adjustRightInd/>
        <w:snapToGrid/>
        <w:spacing w:before="157" w:beforeLines="50" w:after="313" w:afterLines="100" w:line="500" w:lineRule="exact"/>
        <w:ind w:firstLine="640" w:firstLineChars="200"/>
        <w:jc w:val="left"/>
        <w:textAlignment w:val="auto"/>
        <w:rPr>
          <w:rFonts w:hint="eastAsia" w:ascii="仿宋" w:hAnsi="仿宋" w:eastAsia="仿宋" w:cs="仿宋"/>
          <w:spacing w:val="0"/>
          <w:sz w:val="32"/>
          <w:szCs w:val="32"/>
          <w:lang w:val="en-US" w:eastAsia="zh-CN"/>
        </w:rPr>
      </w:pPr>
      <w:r>
        <w:rPr>
          <w:rFonts w:hint="eastAsia" w:ascii="仿宋" w:hAnsi="仿宋" w:eastAsia="仿宋" w:cs="仿宋"/>
          <w:spacing w:val="0"/>
          <w:sz w:val="32"/>
          <w:szCs w:val="32"/>
          <w:lang w:val="en-US" w:eastAsia="zh-CN"/>
        </w:rPr>
        <w:t>附件：</w:t>
      </w:r>
      <w:r>
        <w:rPr>
          <w:rFonts w:hint="eastAsia" w:ascii="仿宋" w:hAnsi="仿宋" w:eastAsia="仿宋" w:cs="仿宋"/>
          <w:spacing w:val="0"/>
          <w:sz w:val="32"/>
          <w:szCs w:val="32"/>
          <w:lang w:eastAsia="zh-CN"/>
        </w:rPr>
        <w:t>河北建筑工程学院内部控制评价办法（试行）</w:t>
      </w:r>
    </w:p>
    <w:p w14:paraId="34CE60CF">
      <w:pPr>
        <w:keepNext w:val="0"/>
        <w:keepLines w:val="0"/>
        <w:pageBreakBefore w:val="0"/>
        <w:widowControl w:val="0"/>
        <w:kinsoku/>
        <w:wordWrap w:val="0"/>
        <w:overflowPunct/>
        <w:topLinePunct w:val="0"/>
        <w:autoSpaceDE/>
        <w:autoSpaceDN/>
        <w:bidi w:val="0"/>
        <w:adjustRightInd/>
        <w:snapToGrid/>
        <w:spacing w:before="937" w:beforeLines="300" w:line="50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2025年8月29日  </w:t>
      </w:r>
    </w:p>
    <w:p w14:paraId="4D1FF07E">
      <w:pPr>
        <w:keepNext w:val="0"/>
        <w:keepLines w:val="0"/>
        <w:pageBreakBefore w:val="0"/>
        <w:widowControl w:val="0"/>
        <w:kinsoku/>
        <w:wordWrap/>
        <w:overflowPunct/>
        <w:topLinePunct w:val="0"/>
        <w:autoSpaceDE/>
        <w:autoSpaceDN/>
        <w:bidi w:val="0"/>
        <w:adjustRightInd/>
        <w:snapToGrid/>
        <w:spacing w:before="937" w:beforeLines="300" w:line="500" w:lineRule="exact"/>
        <w:jc w:val="right"/>
        <w:textAlignment w:val="auto"/>
        <w:rPr>
          <w:rFonts w:hint="eastAsia" w:ascii="仿宋" w:hAnsi="仿宋" w:eastAsia="仿宋" w:cs="仿宋"/>
          <w:sz w:val="32"/>
          <w:szCs w:val="32"/>
          <w:lang w:val="en-US" w:eastAsia="zh-CN"/>
        </w:rPr>
      </w:pPr>
    </w:p>
    <w:p w14:paraId="42C6D082">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8</w:t>
      </w:r>
      <w:r>
        <w:rPr>
          <w:rFonts w:hint="eastAsia" w:ascii="仿宋" w:hAnsi="仿宋" w:eastAsia="仿宋" w:cs="仿宋"/>
          <w:sz w:val="28"/>
          <w:szCs w:val="28"/>
        </w:rPr>
        <w:t>月</w:t>
      </w:r>
      <w:r>
        <w:rPr>
          <w:rFonts w:hint="eastAsia" w:ascii="仿宋" w:hAnsi="仿宋" w:eastAsia="仿宋" w:cs="仿宋"/>
          <w:sz w:val="28"/>
          <w:szCs w:val="28"/>
          <w:lang w:val="en-US" w:eastAsia="zh-CN"/>
        </w:rPr>
        <w:t>29</w:t>
      </w:r>
      <w:r>
        <w:rPr>
          <w:rFonts w:hint="eastAsia" w:ascii="仿宋" w:hAnsi="仿宋" w:eastAsia="仿宋" w:cs="仿宋"/>
          <w:sz w:val="28"/>
          <w:szCs w:val="28"/>
        </w:rPr>
        <w:t>日印发</w:t>
      </w:r>
    </w:p>
    <w:p w14:paraId="70AD9834">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黑体" w:hAnsi="黑体" w:eastAsia="黑体" w:cs="黑体"/>
          <w:b/>
          <w:bCs/>
          <w:spacing w:val="-11"/>
          <w:sz w:val="32"/>
          <w:szCs w:val="32"/>
          <w:lang w:val="en-US" w:eastAsia="zh-CN"/>
        </w:rPr>
      </w:pPr>
      <w:r>
        <w:rPr>
          <w:rFonts w:hint="eastAsia" w:ascii="黑体" w:hAnsi="黑体" w:eastAsia="黑体" w:cs="黑体"/>
          <w:spacing w:val="0"/>
          <w:sz w:val="32"/>
          <w:szCs w:val="32"/>
          <w:lang w:val="en-US" w:eastAsia="zh-CN"/>
        </w:rPr>
        <w:t>附件</w:t>
      </w:r>
    </w:p>
    <w:p w14:paraId="4EDB184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11"/>
          <w:sz w:val="44"/>
          <w:szCs w:val="44"/>
          <w:lang w:val="en-US" w:eastAsia="zh-CN"/>
        </w:rPr>
      </w:pPr>
    </w:p>
    <w:p w14:paraId="7B610E6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sz w:val="44"/>
          <w:szCs w:val="44"/>
          <w:lang w:val="en-US" w:eastAsia="zh-CN"/>
        </w:rPr>
      </w:pPr>
      <w:r>
        <w:rPr>
          <w:rFonts w:hint="eastAsia" w:ascii="宋体" w:hAnsi="宋体"/>
          <w:b/>
          <w:bCs/>
          <w:spacing w:val="-11"/>
          <w:sz w:val="44"/>
          <w:szCs w:val="44"/>
          <w:lang w:val="en-US" w:eastAsia="zh-CN"/>
        </w:rPr>
        <w:t>河北建筑工程学院内部控制评价办法（试行）</w:t>
      </w:r>
    </w:p>
    <w:p w14:paraId="296F650B">
      <w:pPr>
        <w:keepNext w:val="0"/>
        <w:keepLines w:val="0"/>
        <w:pageBreakBefore w:val="0"/>
        <w:widowControl/>
        <w:kinsoku w:val="0"/>
        <w:wordWrap/>
        <w:overflowPunct/>
        <w:topLinePunct w:val="0"/>
        <w:autoSpaceDE w:val="0"/>
        <w:autoSpaceDN w:val="0"/>
        <w:bidi w:val="0"/>
        <w:adjustRightInd w:val="0"/>
        <w:snapToGrid w:val="0"/>
        <w:spacing w:line="560" w:lineRule="exact"/>
        <w:jc w:val="center"/>
        <w:textAlignment w:val="baseline"/>
        <w:outlineLvl w:val="0"/>
        <w:rPr>
          <w:rFonts w:ascii="黑体" w:hAnsi="黑体" w:eastAsia="黑体" w:cs="黑体"/>
          <w:spacing w:val="-7"/>
          <w:sz w:val="32"/>
          <w:szCs w:val="32"/>
        </w:rPr>
      </w:pPr>
    </w:p>
    <w:p w14:paraId="7B5138C3">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560" w:lineRule="exact"/>
        <w:ind w:firstLine="604" w:firstLineChars="200"/>
        <w:jc w:val="center"/>
        <w:textAlignment w:val="baseline"/>
        <w:outlineLvl w:val="0"/>
        <w:rPr>
          <w:rFonts w:ascii="黑体" w:hAnsi="黑体" w:eastAsia="黑体" w:cs="黑体"/>
          <w:spacing w:val="-9"/>
          <w:sz w:val="32"/>
          <w:szCs w:val="32"/>
        </w:rPr>
      </w:pPr>
      <w:r>
        <w:rPr>
          <w:rFonts w:ascii="黑体" w:hAnsi="黑体" w:eastAsia="黑体" w:cs="黑体"/>
          <w:spacing w:val="-9"/>
          <w:sz w:val="32"/>
          <w:szCs w:val="32"/>
        </w:rPr>
        <w:t>第一章 总  则</w:t>
      </w:r>
    </w:p>
    <w:p w14:paraId="6EB073ED">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en-US" w:bidi="ar-SA"/>
        </w:rPr>
      </w:pPr>
      <w:r>
        <w:rPr>
          <w:rFonts w:hint="eastAsia" w:ascii="仿宋" w:hAnsi="仿宋" w:eastAsia="仿宋" w:cs="仿宋"/>
          <w:b/>
          <w:bCs/>
          <w:spacing w:val="-3"/>
          <w:kern w:val="2"/>
          <w:sz w:val="32"/>
          <w:szCs w:val="32"/>
          <w:lang w:val="en-US" w:eastAsia="en-US" w:bidi="ar-SA"/>
        </w:rPr>
        <w:t>第一条</w:t>
      </w:r>
      <w:r>
        <w:rPr>
          <w:rFonts w:hint="eastAsia" w:ascii="仿宋" w:hAnsi="仿宋" w:eastAsia="仿宋" w:cs="仿宋"/>
          <w:spacing w:val="-3"/>
          <w:kern w:val="2"/>
          <w:sz w:val="32"/>
          <w:szCs w:val="32"/>
          <w:lang w:val="en-US" w:eastAsia="en-US" w:bidi="ar-SA"/>
        </w:rPr>
        <w:t xml:space="preserve"> 为规范内部控制评价工作，促进内部控制的持续改进，不断提升内部控制有效性，根据财政部《行政事业单位内部控制规范（试行）》（财会〔2012〕21号）</w:t>
      </w:r>
      <w:r>
        <w:rPr>
          <w:rFonts w:hint="eastAsia" w:ascii="仿宋" w:hAnsi="仿宋" w:eastAsia="仿宋" w:cs="仿宋"/>
          <w:spacing w:val="-3"/>
          <w:kern w:val="2"/>
          <w:sz w:val="32"/>
          <w:szCs w:val="32"/>
          <w:lang w:val="en-US" w:eastAsia="zh-CN" w:bidi="ar-SA"/>
        </w:rPr>
        <w:t>、</w:t>
      </w:r>
      <w:r>
        <w:rPr>
          <w:rFonts w:hint="eastAsia" w:ascii="仿宋" w:hAnsi="仿宋" w:eastAsia="仿宋" w:cs="仿宋"/>
          <w:spacing w:val="-3"/>
          <w:kern w:val="2"/>
          <w:sz w:val="32"/>
          <w:szCs w:val="32"/>
          <w:lang w:val="en-US" w:eastAsia="en-US" w:bidi="ar-SA"/>
        </w:rPr>
        <w:t>《财政部关于全面推进行政事业单位内部控制建设的指导意见》（财会〔2015〕24号）</w:t>
      </w:r>
      <w:r>
        <w:rPr>
          <w:rFonts w:hint="eastAsia" w:ascii="仿宋" w:hAnsi="仿宋" w:eastAsia="仿宋" w:cs="仿宋"/>
          <w:spacing w:val="-3"/>
          <w:kern w:val="2"/>
          <w:sz w:val="32"/>
          <w:szCs w:val="32"/>
          <w:lang w:val="en-US" w:eastAsia="zh-CN" w:bidi="ar-SA"/>
        </w:rPr>
        <w:t>、</w:t>
      </w:r>
      <w:r>
        <w:rPr>
          <w:rFonts w:hint="eastAsia" w:ascii="仿宋" w:hAnsi="仿宋" w:eastAsia="仿宋" w:cs="仿宋"/>
          <w:spacing w:val="-3"/>
          <w:kern w:val="2"/>
          <w:sz w:val="32"/>
          <w:szCs w:val="32"/>
          <w:lang w:val="en-US" w:eastAsia="en-US" w:bidi="ar-SA"/>
        </w:rPr>
        <w:t>《</w:t>
      </w:r>
      <w:r>
        <w:rPr>
          <w:rFonts w:hint="eastAsia" w:ascii="仿宋" w:hAnsi="仿宋" w:eastAsia="仿宋" w:cs="仿宋"/>
          <w:spacing w:val="-3"/>
          <w:kern w:val="2"/>
          <w:sz w:val="32"/>
          <w:szCs w:val="32"/>
          <w:lang w:val="en-US" w:eastAsia="zh-CN" w:bidi="ar-SA"/>
        </w:rPr>
        <w:t>关于印发〈</w:t>
      </w:r>
      <w:r>
        <w:rPr>
          <w:rFonts w:hint="eastAsia" w:ascii="仿宋" w:hAnsi="仿宋" w:eastAsia="仿宋" w:cs="仿宋"/>
          <w:spacing w:val="-3"/>
          <w:kern w:val="2"/>
          <w:sz w:val="32"/>
          <w:szCs w:val="32"/>
          <w:lang w:val="en-US" w:eastAsia="en-US" w:bidi="ar-SA"/>
        </w:rPr>
        <w:t>关于进一步加强高等学校内部控制建设的指导意见</w:t>
      </w:r>
      <w:r>
        <w:rPr>
          <w:rFonts w:hint="eastAsia" w:ascii="仿宋" w:hAnsi="仿宋" w:eastAsia="仿宋" w:cs="仿宋"/>
          <w:spacing w:val="-3"/>
          <w:kern w:val="2"/>
          <w:sz w:val="32"/>
          <w:szCs w:val="32"/>
          <w:lang w:val="en-US" w:eastAsia="zh-CN" w:bidi="ar-SA"/>
        </w:rPr>
        <w:t>〉的通知》（</w:t>
      </w:r>
      <w:r>
        <w:rPr>
          <w:rFonts w:hint="eastAsia" w:ascii="仿宋" w:hAnsi="仿宋" w:eastAsia="仿宋" w:cs="仿宋"/>
          <w:spacing w:val="-3"/>
          <w:kern w:val="2"/>
          <w:sz w:val="32"/>
          <w:szCs w:val="32"/>
          <w:lang w:val="en-US" w:eastAsia="en-US" w:bidi="ar-SA"/>
        </w:rPr>
        <w:t>财会</w:t>
      </w:r>
      <w:r>
        <w:rPr>
          <w:rFonts w:hint="eastAsia" w:ascii="仿宋" w:hAnsi="仿宋" w:eastAsia="仿宋" w:cs="仿宋"/>
          <w:spacing w:val="-3"/>
          <w:kern w:val="2"/>
          <w:sz w:val="32"/>
          <w:szCs w:val="32"/>
          <w:lang w:val="en-US" w:eastAsia="zh-CN" w:bidi="ar-SA"/>
        </w:rPr>
        <w:t>〔2024〕16号）</w:t>
      </w:r>
      <w:r>
        <w:rPr>
          <w:rFonts w:hint="eastAsia" w:ascii="仿宋" w:hAnsi="仿宋" w:eastAsia="仿宋" w:cs="仿宋"/>
          <w:spacing w:val="-3"/>
          <w:kern w:val="2"/>
          <w:sz w:val="32"/>
          <w:szCs w:val="32"/>
          <w:lang w:val="en-US" w:eastAsia="en-US" w:bidi="ar-SA"/>
        </w:rPr>
        <w:t>等相关法律法规，结合学校实际，制定本办法。</w:t>
      </w:r>
    </w:p>
    <w:p w14:paraId="78D40753">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第二条</w:t>
      </w:r>
      <w:r>
        <w:rPr>
          <w:rFonts w:hint="eastAsia" w:ascii="仿宋" w:hAnsi="仿宋" w:eastAsia="仿宋" w:cs="仿宋"/>
          <w:spacing w:val="-3"/>
          <w:kern w:val="2"/>
          <w:sz w:val="32"/>
          <w:szCs w:val="32"/>
          <w:lang w:val="en-US" w:eastAsia="zh-CN" w:bidi="ar-SA"/>
        </w:rPr>
        <w:t xml:space="preserve"> </w:t>
      </w:r>
      <w:r>
        <w:rPr>
          <w:rFonts w:hint="eastAsia" w:ascii="仿宋" w:hAnsi="仿宋" w:eastAsia="仿宋" w:cs="仿宋"/>
          <w:spacing w:val="-3"/>
          <w:kern w:val="2"/>
          <w:sz w:val="32"/>
          <w:szCs w:val="32"/>
          <w:lang w:val="en-US" w:eastAsia="en-US" w:bidi="ar-SA"/>
        </w:rPr>
        <w:t>本办法所称内部控制是指学校通过制定制度、实施措施和执行程</w:t>
      </w:r>
      <w:r>
        <w:rPr>
          <w:rFonts w:hint="eastAsia" w:ascii="仿宋" w:hAnsi="仿宋" w:eastAsia="仿宋" w:cs="仿宋"/>
          <w:spacing w:val="-3"/>
          <w:kern w:val="2"/>
          <w:sz w:val="32"/>
          <w:szCs w:val="32"/>
          <w:lang w:val="en-US" w:eastAsia="zh-CN" w:bidi="ar-SA"/>
        </w:rPr>
        <w:t>序，对经济活动和业务活动中的风险进行防范和管控。</w:t>
      </w:r>
    </w:p>
    <w:p w14:paraId="6E69A41F">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第三条</w:t>
      </w:r>
      <w:r>
        <w:rPr>
          <w:rFonts w:hint="eastAsia" w:ascii="仿宋" w:hAnsi="仿宋" w:eastAsia="仿宋" w:cs="仿宋"/>
          <w:spacing w:val="-3"/>
          <w:kern w:val="2"/>
          <w:sz w:val="32"/>
          <w:szCs w:val="32"/>
          <w:lang w:val="en-US" w:eastAsia="zh-CN" w:bidi="ar-SA"/>
        </w:rPr>
        <w:t xml:space="preserve"> 本办法所称内部控制评价是指对学校内部控制制度设计及运行的有效性进行的审查和评价。</w:t>
      </w:r>
    </w:p>
    <w:p w14:paraId="5E40BCB4">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内部控制评价的目的是促进学校各单位加强风险防范，规范内部管理机制，建立健全内部控制制度，有效防范舞弊和预防腐败，确保权力运行规范有序，不断提升学校治理能力和治理水平。</w:t>
      </w:r>
    </w:p>
    <w:p w14:paraId="19C81CD8">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第四条</w:t>
      </w:r>
      <w:r>
        <w:rPr>
          <w:rFonts w:hint="eastAsia" w:ascii="仿宋" w:hAnsi="仿宋" w:eastAsia="仿宋" w:cs="仿宋"/>
          <w:spacing w:val="-3"/>
          <w:kern w:val="2"/>
          <w:sz w:val="32"/>
          <w:szCs w:val="32"/>
          <w:lang w:val="en-US" w:eastAsia="zh-CN" w:bidi="ar-SA"/>
        </w:rPr>
        <w:t xml:space="preserve"> 内部控制评价遵循的原则：</w:t>
      </w:r>
    </w:p>
    <w:p w14:paraId="1068EE60">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（一）全面性原则。应将学校经济活动的决策、执行和监督全过程作为内部控制评价范围。</w:t>
      </w:r>
    </w:p>
    <w:p w14:paraId="328EA19C">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（二）重要性原则。在对内部控制全面评价的基础上，应将重要业务活动和高风险领域作为内部控制评价的重点。</w:t>
      </w:r>
    </w:p>
    <w:p w14:paraId="798D2C68">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（三）客观性原则。内部控制评价工作应如实、客观地揭示学校内部控制建设与运行中存在的缺陷与风险。</w:t>
      </w:r>
    </w:p>
    <w:p w14:paraId="7E495FB9">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（四）及时性原则。与学校管理活动相关的外部环境或学校管理要求发生变化时，应及时调整评价的重点和实施方式等。</w:t>
      </w:r>
    </w:p>
    <w:p w14:paraId="71C65996">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560" w:lineRule="exact"/>
        <w:ind w:firstLine="604" w:firstLineChars="200"/>
        <w:jc w:val="center"/>
        <w:textAlignment w:val="baseline"/>
        <w:outlineLvl w:val="0"/>
        <w:rPr>
          <w:rFonts w:ascii="黑体" w:hAnsi="黑体" w:eastAsia="黑体" w:cs="黑体"/>
          <w:spacing w:val="-9"/>
          <w:sz w:val="32"/>
          <w:szCs w:val="32"/>
        </w:rPr>
      </w:pPr>
      <w:r>
        <w:rPr>
          <w:rFonts w:ascii="黑体" w:hAnsi="黑体" w:eastAsia="黑体" w:cs="黑体"/>
          <w:spacing w:val="-9"/>
          <w:sz w:val="32"/>
          <w:szCs w:val="32"/>
        </w:rPr>
        <w:t>第二章 评价工作机制</w:t>
      </w:r>
    </w:p>
    <w:p w14:paraId="43F94F57">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第五条</w:t>
      </w:r>
      <w:r>
        <w:rPr>
          <w:rFonts w:hint="eastAsia" w:ascii="仿宋" w:hAnsi="仿宋" w:eastAsia="仿宋" w:cs="仿宋"/>
          <w:spacing w:val="-3"/>
          <w:kern w:val="2"/>
          <w:sz w:val="32"/>
          <w:szCs w:val="32"/>
          <w:lang w:val="en-US" w:eastAsia="zh-CN" w:bidi="ar-SA"/>
        </w:rPr>
        <w:t xml:space="preserve"> 学校内部控制评价小组（以下简称评价小组）由纪检监察、审计室部门有关负责人组成，内部控制评价工作由审计室负责牵头组织实施。根据实际情况既可以独立开展内部控制评价，也可以委托社会中介机构进行内部控制评价，为单位提供内部控制建设服务的社会中介机构，不得同时为同一单位提供内部控制评价服务。其主要职责：</w:t>
      </w:r>
    </w:p>
    <w:p w14:paraId="4419345F">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（一）组织拟定内部控制评价相关制度；</w:t>
      </w:r>
    </w:p>
    <w:p w14:paraId="083169E0">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（二）组织编制内部控制评价工作方案；</w:t>
      </w:r>
    </w:p>
    <w:p w14:paraId="3E41353F">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（三）组织实施内部控制评价工作；</w:t>
      </w:r>
    </w:p>
    <w:p w14:paraId="3A24A47E">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（四）监督内部控制缺陷整改落实情况；</w:t>
      </w:r>
    </w:p>
    <w:p w14:paraId="338346C8">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（五）完成领导小组交办的相关工作。</w:t>
      </w:r>
    </w:p>
    <w:p w14:paraId="0ED5D0BA">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 xml:space="preserve">第六条 </w:t>
      </w:r>
      <w:r>
        <w:rPr>
          <w:rFonts w:hint="eastAsia" w:ascii="仿宋" w:hAnsi="仿宋" w:eastAsia="仿宋" w:cs="仿宋"/>
          <w:spacing w:val="-3"/>
          <w:kern w:val="2"/>
          <w:sz w:val="32"/>
          <w:szCs w:val="32"/>
          <w:lang w:val="en-US" w:eastAsia="zh-CN" w:bidi="ar-SA"/>
        </w:rPr>
        <w:t>学校内部控制建设相关部门应结合日常经济活动开展情况，实施本部门的内控体系建设、内控自查和自我评价工作。其主要职责：</w:t>
      </w:r>
    </w:p>
    <w:p w14:paraId="16F5F752">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（一）实施本部门的内控体系建设，开展本单位内部控制自查、自评工作；</w:t>
      </w:r>
    </w:p>
    <w:p w14:paraId="26DED60E">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（二）根据业务内部控制自查结果梳理内部控制缺陷；</w:t>
      </w:r>
    </w:p>
    <w:p w14:paraId="07DA1EAF">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（三）针对内部控制中存在的缺陷制定整改计划；</w:t>
      </w:r>
    </w:p>
    <w:p w14:paraId="73654AD1">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（四）落实整改计划，并及时向评价小组报送整改情况报告；</w:t>
      </w:r>
    </w:p>
    <w:p w14:paraId="27FF7BCB">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sz w:val="32"/>
          <w:szCs w:val="32"/>
        </w:rPr>
      </w:pPr>
      <w:r>
        <w:rPr>
          <w:rFonts w:hint="eastAsia" w:ascii="仿宋" w:hAnsi="仿宋" w:eastAsia="仿宋" w:cs="仿宋"/>
          <w:spacing w:val="-3"/>
          <w:kern w:val="2"/>
          <w:sz w:val="32"/>
          <w:szCs w:val="32"/>
          <w:lang w:val="en-US" w:eastAsia="zh-CN" w:bidi="ar-SA"/>
        </w:rPr>
        <w:t>（五）其他和内部控制及其评价相关的工作。</w:t>
      </w:r>
    </w:p>
    <w:p w14:paraId="26F52054">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560" w:lineRule="exact"/>
        <w:ind w:firstLine="604" w:firstLineChars="200"/>
        <w:jc w:val="center"/>
        <w:textAlignment w:val="baseline"/>
        <w:outlineLvl w:val="0"/>
        <w:rPr>
          <w:rFonts w:ascii="黑体" w:hAnsi="黑体" w:eastAsia="黑体" w:cs="黑体"/>
          <w:spacing w:val="-9"/>
          <w:sz w:val="32"/>
          <w:szCs w:val="32"/>
        </w:rPr>
      </w:pPr>
      <w:r>
        <w:rPr>
          <w:rFonts w:ascii="黑体" w:hAnsi="黑体" w:eastAsia="黑体" w:cs="黑体"/>
          <w:spacing w:val="-9"/>
          <w:sz w:val="32"/>
          <w:szCs w:val="32"/>
        </w:rPr>
        <w:t>第三章 评价内容</w:t>
      </w:r>
    </w:p>
    <w:p w14:paraId="26B9BF0F">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第七条</w:t>
      </w:r>
      <w:r>
        <w:rPr>
          <w:rFonts w:hint="eastAsia" w:ascii="仿宋" w:hAnsi="仿宋" w:eastAsia="仿宋" w:cs="仿宋"/>
          <w:spacing w:val="-3"/>
          <w:kern w:val="2"/>
          <w:sz w:val="32"/>
          <w:szCs w:val="32"/>
          <w:lang w:val="en-US" w:eastAsia="zh-CN" w:bidi="ar-SA"/>
        </w:rPr>
        <w:t xml:space="preserve"> 内部控制评价应当以风险评估为基础，可以对学校经济活动的内部控制进行全面评价，也可以对学校经济活动的重要领域、关键环节进行专项评价。</w:t>
      </w:r>
    </w:p>
    <w:p w14:paraId="7C3DB0B5">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第八条</w:t>
      </w:r>
      <w:r>
        <w:rPr>
          <w:rFonts w:hint="eastAsia" w:ascii="仿宋" w:hAnsi="仿宋" w:eastAsia="仿宋" w:cs="仿宋"/>
          <w:spacing w:val="-3"/>
          <w:kern w:val="2"/>
          <w:sz w:val="32"/>
          <w:szCs w:val="32"/>
          <w:lang w:val="en-US" w:eastAsia="zh-CN" w:bidi="ar-SA"/>
        </w:rPr>
        <w:t xml:space="preserve"> 内部控制评价分为单位层面内部控制评价和业务层面内部控制评价。</w:t>
      </w:r>
    </w:p>
    <w:p w14:paraId="63AF2E37">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第九条</w:t>
      </w:r>
      <w:r>
        <w:rPr>
          <w:rFonts w:hint="eastAsia" w:ascii="仿宋" w:hAnsi="仿宋" w:eastAsia="仿宋" w:cs="仿宋"/>
          <w:spacing w:val="-3"/>
          <w:kern w:val="2"/>
          <w:sz w:val="32"/>
          <w:szCs w:val="32"/>
          <w:lang w:val="en-US" w:eastAsia="zh-CN" w:bidi="ar-SA"/>
        </w:rPr>
        <w:t xml:space="preserve"> 单位层面内部控制评价，是针对学校整体内部控制设计的有效性和运行的有效性所进行的评价，包括对“三重一大”、组织架构、决策与权力制衡机制、关键岗位责任制等方面的评价。</w:t>
      </w:r>
    </w:p>
    <w:p w14:paraId="085DBDE4">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ascii="黑体" w:hAnsi="黑体" w:eastAsia="黑体" w:cs="黑体"/>
          <w:spacing w:val="-9"/>
          <w:sz w:val="32"/>
          <w:szCs w:val="32"/>
        </w:rPr>
      </w:pPr>
      <w:r>
        <w:rPr>
          <w:rFonts w:hint="eastAsia" w:ascii="仿宋" w:hAnsi="仿宋" w:eastAsia="仿宋" w:cs="仿宋"/>
          <w:b/>
          <w:bCs/>
          <w:spacing w:val="-3"/>
          <w:kern w:val="2"/>
          <w:sz w:val="32"/>
          <w:szCs w:val="32"/>
          <w:lang w:val="en-US" w:eastAsia="zh-CN" w:bidi="ar-SA"/>
        </w:rPr>
        <w:t>第十条</w:t>
      </w:r>
      <w:r>
        <w:rPr>
          <w:rFonts w:hint="eastAsia" w:ascii="仿宋" w:hAnsi="仿宋" w:eastAsia="仿宋" w:cs="仿宋"/>
          <w:spacing w:val="-3"/>
          <w:kern w:val="2"/>
          <w:sz w:val="32"/>
          <w:szCs w:val="32"/>
          <w:lang w:val="en-US" w:eastAsia="zh-CN" w:bidi="ar-SA"/>
        </w:rPr>
        <w:t xml:space="preserve"> 业务层面内部控制评价是针对某项业务活动内部控制设计的有效性和运行的有效性所进行的评价，包括对预算业务、收支业务、政府采购业务、资产管理、建设项目管理、合同管理等业务活动的评价。</w:t>
      </w:r>
    </w:p>
    <w:p w14:paraId="18B024B9">
      <w:pPr>
        <w:keepNext w:val="0"/>
        <w:keepLines w:val="0"/>
        <w:pageBreakBefore w:val="0"/>
        <w:widowControl/>
        <w:kinsoku w:val="0"/>
        <w:wordWrap/>
        <w:overflowPunct/>
        <w:topLinePunct w:val="0"/>
        <w:autoSpaceDE w:val="0"/>
        <w:autoSpaceDN w:val="0"/>
        <w:bidi w:val="0"/>
        <w:adjustRightInd w:val="0"/>
        <w:snapToGrid w:val="0"/>
        <w:spacing w:before="157" w:beforeLines="50" w:after="157" w:afterLines="50" w:line="560" w:lineRule="exact"/>
        <w:ind w:firstLine="604" w:firstLineChars="200"/>
        <w:jc w:val="center"/>
        <w:textAlignment w:val="baseline"/>
        <w:outlineLvl w:val="0"/>
        <w:rPr>
          <w:rFonts w:ascii="黑体" w:hAnsi="黑体" w:eastAsia="黑体" w:cs="黑体"/>
          <w:spacing w:val="-9"/>
          <w:sz w:val="32"/>
          <w:szCs w:val="32"/>
        </w:rPr>
      </w:pPr>
      <w:r>
        <w:rPr>
          <w:rFonts w:ascii="黑体" w:hAnsi="黑体" w:eastAsia="黑体" w:cs="黑体"/>
          <w:spacing w:val="-9"/>
          <w:sz w:val="32"/>
          <w:szCs w:val="32"/>
        </w:rPr>
        <w:t>第四章</w:t>
      </w:r>
      <w:r>
        <w:rPr>
          <w:rFonts w:hint="eastAsia" w:ascii="黑体" w:hAnsi="黑体" w:eastAsia="黑体" w:cs="黑体"/>
          <w:spacing w:val="-9"/>
          <w:sz w:val="32"/>
          <w:szCs w:val="32"/>
          <w:lang w:val="en-US" w:eastAsia="zh-CN"/>
        </w:rPr>
        <w:t xml:space="preserve"> </w:t>
      </w:r>
      <w:r>
        <w:rPr>
          <w:rFonts w:ascii="黑体" w:hAnsi="黑体" w:eastAsia="黑体" w:cs="黑体"/>
          <w:spacing w:val="-9"/>
          <w:sz w:val="32"/>
          <w:szCs w:val="32"/>
        </w:rPr>
        <w:t>组织与实施</w:t>
      </w:r>
    </w:p>
    <w:p w14:paraId="1F5006D1">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en-US" w:bidi="ar-SA"/>
        </w:rPr>
        <w:t>第十</w:t>
      </w:r>
      <w:r>
        <w:rPr>
          <w:rFonts w:hint="eastAsia" w:ascii="仿宋" w:hAnsi="仿宋" w:eastAsia="仿宋" w:cs="仿宋"/>
          <w:b/>
          <w:bCs/>
          <w:spacing w:val="-3"/>
          <w:kern w:val="2"/>
          <w:sz w:val="32"/>
          <w:szCs w:val="32"/>
          <w:lang w:val="en-US" w:eastAsia="zh-CN" w:bidi="ar-SA"/>
        </w:rPr>
        <w:t>一</w:t>
      </w:r>
      <w:r>
        <w:rPr>
          <w:rFonts w:hint="eastAsia" w:ascii="仿宋" w:hAnsi="仿宋" w:eastAsia="仿宋" w:cs="仿宋"/>
          <w:b/>
          <w:bCs/>
          <w:spacing w:val="-3"/>
          <w:kern w:val="2"/>
          <w:sz w:val="32"/>
          <w:szCs w:val="32"/>
          <w:lang w:val="en-US" w:eastAsia="en-US" w:bidi="ar-SA"/>
        </w:rPr>
        <w:t>条</w:t>
      </w:r>
      <w:r>
        <w:rPr>
          <w:rFonts w:hint="eastAsia" w:ascii="仿宋" w:hAnsi="仿宋" w:eastAsia="仿宋" w:cs="仿宋"/>
          <w:spacing w:val="-3"/>
          <w:kern w:val="2"/>
          <w:sz w:val="32"/>
          <w:szCs w:val="32"/>
          <w:lang w:val="en-US" w:eastAsia="en-US" w:bidi="ar-SA"/>
        </w:rPr>
        <w:t xml:space="preserve"> </w:t>
      </w:r>
      <w:r>
        <w:rPr>
          <w:rFonts w:hint="eastAsia" w:ascii="仿宋" w:hAnsi="仿宋" w:eastAsia="仿宋" w:cs="仿宋"/>
          <w:spacing w:val="-3"/>
          <w:kern w:val="2"/>
          <w:sz w:val="32"/>
          <w:szCs w:val="32"/>
          <w:lang w:val="en-US" w:eastAsia="zh-CN" w:bidi="ar-SA"/>
        </w:rPr>
        <w:t>评价</w:t>
      </w:r>
      <w:r>
        <w:rPr>
          <w:rFonts w:hint="eastAsia" w:ascii="仿宋" w:hAnsi="仿宋" w:eastAsia="仿宋" w:cs="仿宋"/>
          <w:spacing w:val="-3"/>
          <w:kern w:val="2"/>
          <w:sz w:val="32"/>
          <w:szCs w:val="32"/>
          <w:lang w:val="en-US" w:eastAsia="en-US" w:bidi="ar-SA"/>
        </w:rPr>
        <w:t>小组根据上级要求和学校内部管理需要，原则上一年一次，以每年的12</w:t>
      </w:r>
      <w:r>
        <w:rPr>
          <w:rFonts w:hint="default" w:ascii="仿宋" w:hAnsi="仿宋" w:eastAsia="仿宋" w:cs="仿宋"/>
          <w:spacing w:val="-3"/>
          <w:kern w:val="2"/>
          <w:sz w:val="32"/>
          <w:szCs w:val="32"/>
          <w:lang w:val="en-US" w:eastAsia="en-US" w:bidi="ar-SA"/>
        </w:rPr>
        <w:t>月31日作为评价报告的基准日完成</w:t>
      </w:r>
      <w:r>
        <w:rPr>
          <w:rFonts w:hint="eastAsia" w:ascii="仿宋" w:hAnsi="仿宋" w:eastAsia="仿宋" w:cs="仿宋"/>
          <w:spacing w:val="-3"/>
          <w:kern w:val="2"/>
          <w:sz w:val="32"/>
          <w:szCs w:val="32"/>
          <w:lang w:val="en-US" w:eastAsia="zh-CN" w:bidi="ar-SA"/>
        </w:rPr>
        <w:t>内控</w:t>
      </w:r>
      <w:r>
        <w:rPr>
          <w:rFonts w:hint="default" w:ascii="仿宋" w:hAnsi="仿宋" w:eastAsia="仿宋" w:cs="仿宋"/>
          <w:spacing w:val="-3"/>
          <w:kern w:val="2"/>
          <w:sz w:val="32"/>
          <w:szCs w:val="32"/>
          <w:lang w:val="en-US" w:eastAsia="en-US" w:bidi="ar-SA"/>
        </w:rPr>
        <w:t>评价，并出具内部控制评价报告。</w:t>
      </w:r>
    </w:p>
    <w:p w14:paraId="46B44D5A">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en-US" w:bidi="ar-SA"/>
        </w:rPr>
      </w:pPr>
      <w:r>
        <w:rPr>
          <w:rFonts w:hint="eastAsia" w:ascii="仿宋" w:hAnsi="仿宋" w:eastAsia="仿宋" w:cs="仿宋"/>
          <w:b/>
          <w:bCs/>
          <w:spacing w:val="-3"/>
          <w:kern w:val="2"/>
          <w:sz w:val="32"/>
          <w:szCs w:val="32"/>
          <w:lang w:val="en-US" w:eastAsia="en-US" w:bidi="ar-SA"/>
        </w:rPr>
        <w:t>第十</w:t>
      </w:r>
      <w:r>
        <w:rPr>
          <w:rFonts w:hint="eastAsia" w:ascii="仿宋" w:hAnsi="仿宋" w:eastAsia="仿宋" w:cs="仿宋"/>
          <w:b/>
          <w:bCs/>
          <w:spacing w:val="-3"/>
          <w:kern w:val="2"/>
          <w:sz w:val="32"/>
          <w:szCs w:val="32"/>
          <w:lang w:val="en-US" w:eastAsia="zh-CN" w:bidi="ar-SA"/>
        </w:rPr>
        <w:t>二</w:t>
      </w:r>
      <w:r>
        <w:rPr>
          <w:rFonts w:hint="eastAsia" w:ascii="仿宋" w:hAnsi="仿宋" w:eastAsia="仿宋" w:cs="仿宋"/>
          <w:b/>
          <w:bCs/>
          <w:spacing w:val="-3"/>
          <w:kern w:val="2"/>
          <w:sz w:val="32"/>
          <w:szCs w:val="32"/>
          <w:lang w:val="en-US" w:eastAsia="en-US" w:bidi="ar-SA"/>
        </w:rPr>
        <w:t>条</w:t>
      </w:r>
      <w:r>
        <w:rPr>
          <w:rFonts w:hint="eastAsia" w:ascii="仿宋" w:hAnsi="仿宋" w:eastAsia="仿宋" w:cs="仿宋"/>
          <w:spacing w:val="-3"/>
          <w:kern w:val="2"/>
          <w:sz w:val="32"/>
          <w:szCs w:val="32"/>
          <w:lang w:val="en-US" w:eastAsia="en-US" w:bidi="ar-SA"/>
        </w:rPr>
        <w:t xml:space="preserve"> </w:t>
      </w:r>
      <w:r>
        <w:rPr>
          <w:rFonts w:hint="eastAsia" w:ascii="仿宋" w:hAnsi="仿宋" w:eastAsia="仿宋" w:cs="仿宋"/>
          <w:spacing w:val="-3"/>
          <w:kern w:val="2"/>
          <w:sz w:val="32"/>
          <w:szCs w:val="32"/>
          <w:lang w:val="en-US" w:eastAsia="zh-CN" w:bidi="ar-SA"/>
        </w:rPr>
        <w:t xml:space="preserve"> 内</w:t>
      </w:r>
      <w:r>
        <w:rPr>
          <w:rFonts w:hint="eastAsia" w:ascii="仿宋" w:hAnsi="仿宋" w:eastAsia="仿宋" w:cs="仿宋"/>
          <w:spacing w:val="-3"/>
          <w:kern w:val="2"/>
          <w:sz w:val="32"/>
          <w:szCs w:val="32"/>
          <w:lang w:val="en-US" w:eastAsia="en-US" w:bidi="ar-SA"/>
        </w:rPr>
        <w:t>部控制评价</w:t>
      </w:r>
      <w:r>
        <w:rPr>
          <w:rFonts w:hint="eastAsia" w:ascii="仿宋" w:hAnsi="仿宋" w:eastAsia="仿宋" w:cs="仿宋"/>
          <w:spacing w:val="-3"/>
          <w:kern w:val="2"/>
          <w:sz w:val="32"/>
          <w:szCs w:val="32"/>
          <w:lang w:val="en-US" w:eastAsia="zh-CN" w:bidi="ar-SA"/>
        </w:rPr>
        <w:t>工作一般按照以下四个阶段进行</w:t>
      </w:r>
      <w:r>
        <w:rPr>
          <w:rFonts w:hint="eastAsia" w:ascii="仿宋" w:hAnsi="仿宋" w:eastAsia="仿宋" w:cs="仿宋"/>
          <w:spacing w:val="-3"/>
          <w:kern w:val="2"/>
          <w:sz w:val="32"/>
          <w:szCs w:val="32"/>
          <w:lang w:val="en-US" w:eastAsia="en-US" w:bidi="ar-SA"/>
        </w:rPr>
        <w:t>：</w:t>
      </w:r>
    </w:p>
    <w:p w14:paraId="7E32FDEF">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（一）组织动员阶段。本阶段开展内部控制评价工作动员、宣传和培训，为学校开展内部控制评价工作营造良好的氛围，保证学校内部控制基础性评价工作顺利开展。</w:t>
      </w:r>
    </w:p>
    <w:p w14:paraId="5F4C45C2">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en-US" w:bidi="ar-SA"/>
        </w:rPr>
        <w:t>（二）开展评价阶段</w:t>
      </w:r>
      <w:r>
        <w:rPr>
          <w:rFonts w:hint="eastAsia" w:ascii="仿宋" w:hAnsi="仿宋" w:eastAsia="仿宋" w:cs="仿宋"/>
          <w:spacing w:val="-3"/>
          <w:kern w:val="2"/>
          <w:sz w:val="32"/>
          <w:szCs w:val="32"/>
          <w:lang w:val="en-US" w:eastAsia="zh-CN" w:bidi="ar-SA"/>
        </w:rPr>
        <w:t>。按照河北省关于开展年度内部控制报告编报工作的通知中的各项要求，内部控制建设相关部门开展内部控制建设自我评估，并向评价小组提交内部控制自我评估报告和相关资料。评价小组对被评价单位或业务活动的内部控制的健全性、合理性和运行有效性作出评价。</w:t>
      </w:r>
    </w:p>
    <w:p w14:paraId="1951290D">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（三）评价结果反馈与检查监督</w:t>
      </w:r>
    </w:p>
    <w:p w14:paraId="0968BE2F">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评价小组对内部控制建设相关部门提交的内部控制自我评估报告以及相应的支撑材料进行分析核对，与各实施单位进行沟通，并结合现场调研等方式了解内部控制建设具体情况进行监督检查，进一步核实评价结果的真实性、合理性以及支撑材料的充分性。</w:t>
      </w:r>
    </w:p>
    <w:p w14:paraId="561927C0">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（四）评价报告撰写与报送</w:t>
      </w:r>
    </w:p>
    <w:p w14:paraId="63CDA5C6">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28"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spacing w:val="-3"/>
          <w:kern w:val="2"/>
          <w:sz w:val="32"/>
          <w:szCs w:val="32"/>
          <w:lang w:val="en-US" w:eastAsia="zh-CN" w:bidi="ar-SA"/>
        </w:rPr>
        <w:t>评价小组根据单位层面和业务层面评价结果以及改进内部控制和加强风险管控的建议等形成学校整体的内部控制自评报告，并经学校审议通过后上报至有关主管部门。</w:t>
      </w:r>
    </w:p>
    <w:p w14:paraId="0010D74D">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第十三条</w:t>
      </w:r>
      <w:r>
        <w:rPr>
          <w:rFonts w:hint="eastAsia" w:ascii="仿宋" w:hAnsi="仿宋" w:eastAsia="仿宋" w:cs="仿宋"/>
          <w:spacing w:val="-3"/>
          <w:kern w:val="2"/>
          <w:sz w:val="32"/>
          <w:szCs w:val="32"/>
          <w:lang w:val="en-US" w:eastAsia="zh-CN" w:bidi="ar-SA"/>
        </w:rPr>
        <w:t xml:space="preserve"> 被评价单位按照学校内部控制建设的要求，通过</w:t>
      </w:r>
      <w:r>
        <w:rPr>
          <w:rFonts w:hint="default" w:ascii="仿宋" w:hAnsi="仿宋" w:eastAsia="仿宋" w:cs="仿宋"/>
          <w:spacing w:val="-3"/>
          <w:kern w:val="2"/>
          <w:sz w:val="32"/>
          <w:szCs w:val="32"/>
          <w:lang w:val="en-US" w:eastAsia="zh-CN" w:bidi="ar-SA"/>
        </w:rPr>
        <w:t>不断完善内控制度、实施内控措施和执行有关程序，完善自身内控建设</w:t>
      </w:r>
      <w:r>
        <w:rPr>
          <w:rFonts w:hint="eastAsia" w:ascii="仿宋" w:hAnsi="仿宋" w:eastAsia="仿宋" w:cs="仿宋"/>
          <w:spacing w:val="-3"/>
          <w:kern w:val="2"/>
          <w:sz w:val="32"/>
          <w:szCs w:val="32"/>
          <w:lang w:val="en-US" w:eastAsia="zh-CN" w:bidi="ar-SA"/>
        </w:rPr>
        <w:t>，</w:t>
      </w:r>
      <w:r>
        <w:rPr>
          <w:rFonts w:hint="default" w:ascii="仿宋" w:hAnsi="仿宋" w:eastAsia="仿宋" w:cs="仿宋"/>
          <w:spacing w:val="-3"/>
          <w:kern w:val="2"/>
          <w:sz w:val="32"/>
          <w:szCs w:val="32"/>
          <w:lang w:val="en-US" w:eastAsia="zh-CN" w:bidi="ar-SA"/>
        </w:rPr>
        <w:t>定期开展内部控制建设自评与自查</w:t>
      </w:r>
      <w:r>
        <w:rPr>
          <w:rFonts w:hint="eastAsia" w:ascii="仿宋" w:hAnsi="仿宋" w:eastAsia="仿宋" w:cs="仿宋"/>
          <w:spacing w:val="-3"/>
          <w:kern w:val="2"/>
          <w:sz w:val="32"/>
          <w:szCs w:val="32"/>
          <w:lang w:val="en-US" w:eastAsia="zh-CN" w:bidi="ar-SA"/>
        </w:rPr>
        <w:t>。被评价单位应积极配合评价工作。按照评价要求，及时提供评价所需的资料，并对资料的真实性、完整性作出承诺。</w:t>
      </w:r>
    </w:p>
    <w:p w14:paraId="4936BDB5">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第十四条</w:t>
      </w:r>
      <w:r>
        <w:rPr>
          <w:rFonts w:hint="eastAsia" w:ascii="仿宋" w:hAnsi="仿宋" w:eastAsia="仿宋" w:cs="仿宋"/>
          <w:spacing w:val="-3"/>
          <w:kern w:val="2"/>
          <w:sz w:val="32"/>
          <w:szCs w:val="32"/>
          <w:lang w:val="en-US" w:eastAsia="zh-CN" w:bidi="ar-SA"/>
        </w:rPr>
        <w:t xml:space="preserve"> 对于评价报告所提出的评价意见和建议，内 部控制归口管理部门和被评价部门必须认真整改落实，并在 规定时间内将整改情况以书面形式反馈评价小组，评价小组对整改情况进行监督和后续评价。</w:t>
      </w:r>
    </w:p>
    <w:p w14:paraId="062C1172">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第十五条</w:t>
      </w:r>
      <w:r>
        <w:rPr>
          <w:rFonts w:hint="eastAsia" w:ascii="仿宋" w:hAnsi="仿宋" w:eastAsia="仿宋" w:cs="仿宋"/>
          <w:spacing w:val="-3"/>
          <w:kern w:val="2"/>
          <w:sz w:val="32"/>
          <w:szCs w:val="32"/>
          <w:lang w:val="en-US" w:eastAsia="zh-CN" w:bidi="ar-SA"/>
        </w:rPr>
        <w:t xml:space="preserve"> 评价工作结束后，审计室根据档案管理要求，整理内部控制评价的有关资料并妥善保管。</w:t>
      </w:r>
    </w:p>
    <w:p w14:paraId="0FD2A871">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_GB2312" w:hAnsi="宋体" w:eastAsia="仿宋_GB2312" w:cs="仿宋_GB2312"/>
          <w:i w:val="0"/>
          <w:iCs w:val="0"/>
          <w:caps w:val="0"/>
          <w:color w:val="000000"/>
          <w:spacing w:val="0"/>
          <w:sz w:val="32"/>
          <w:szCs w:val="32"/>
          <w:shd w:val="clear" w:color="auto" w:fill="FFFFFF"/>
        </w:rPr>
      </w:pPr>
      <w:r>
        <w:rPr>
          <w:rFonts w:hint="eastAsia" w:ascii="仿宋" w:hAnsi="仿宋" w:eastAsia="仿宋" w:cs="仿宋"/>
          <w:b/>
          <w:bCs/>
          <w:spacing w:val="-3"/>
          <w:kern w:val="2"/>
          <w:sz w:val="32"/>
          <w:szCs w:val="32"/>
          <w:lang w:val="en-US" w:eastAsia="zh-CN" w:bidi="ar-SA"/>
        </w:rPr>
        <w:t>第十六条</w:t>
      </w:r>
      <w:r>
        <w:rPr>
          <w:rFonts w:hint="eastAsia" w:ascii="仿宋" w:hAnsi="仿宋" w:eastAsia="仿宋" w:cs="仿宋"/>
          <w:spacing w:val="-3"/>
          <w:kern w:val="2"/>
          <w:sz w:val="32"/>
          <w:szCs w:val="32"/>
          <w:lang w:val="en-US" w:eastAsia="zh-CN" w:bidi="ar-SA"/>
        </w:rPr>
        <w:t xml:space="preserve"> 对内部控制评价中发现的重大违规违纪问题，按规定移交纪检监察部门或相关管理部门处理。</w:t>
      </w:r>
    </w:p>
    <w:p w14:paraId="46F7BEAA">
      <w:pPr>
        <w:keepNext w:val="0"/>
        <w:keepLines w:val="0"/>
        <w:pageBreakBefore w:val="0"/>
        <w:widowControl/>
        <w:kinsoku w:val="0"/>
        <w:wordWrap/>
        <w:overflowPunct/>
        <w:topLinePunct w:val="0"/>
        <w:autoSpaceDE w:val="0"/>
        <w:autoSpaceDN w:val="0"/>
        <w:bidi w:val="0"/>
        <w:adjustRightInd w:val="0"/>
        <w:snapToGrid w:val="0"/>
        <w:spacing w:line="560" w:lineRule="exact"/>
        <w:ind w:firstLine="604" w:firstLineChars="200"/>
        <w:jc w:val="center"/>
        <w:textAlignment w:val="baseline"/>
        <w:outlineLvl w:val="0"/>
        <w:rPr>
          <w:rFonts w:ascii="黑体" w:hAnsi="黑体" w:eastAsia="黑体" w:cs="黑体"/>
          <w:spacing w:val="-9"/>
          <w:sz w:val="32"/>
          <w:szCs w:val="32"/>
        </w:rPr>
      </w:pPr>
      <w:r>
        <w:rPr>
          <w:rFonts w:ascii="黑体" w:hAnsi="黑体" w:eastAsia="黑体" w:cs="黑体"/>
          <w:spacing w:val="-9"/>
          <w:sz w:val="32"/>
          <w:szCs w:val="32"/>
        </w:rPr>
        <w:t>第五章</w:t>
      </w:r>
      <w:r>
        <w:rPr>
          <w:rFonts w:ascii="黑体" w:hAnsi="黑体" w:eastAsia="黑体" w:cs="黑体"/>
          <w:spacing w:val="15"/>
          <w:sz w:val="32"/>
          <w:szCs w:val="32"/>
        </w:rPr>
        <w:t xml:space="preserve">  </w:t>
      </w:r>
      <w:r>
        <w:rPr>
          <w:rFonts w:ascii="黑体" w:hAnsi="黑体" w:eastAsia="黑体" w:cs="黑体"/>
          <w:spacing w:val="-9"/>
          <w:sz w:val="32"/>
          <w:szCs w:val="32"/>
        </w:rPr>
        <w:t>附</w:t>
      </w:r>
      <w:r>
        <w:rPr>
          <w:rFonts w:ascii="黑体" w:hAnsi="黑体" w:eastAsia="黑体" w:cs="黑体"/>
          <w:spacing w:val="6"/>
          <w:sz w:val="32"/>
          <w:szCs w:val="32"/>
        </w:rPr>
        <w:t xml:space="preserve">  </w:t>
      </w:r>
      <w:r>
        <w:rPr>
          <w:rFonts w:ascii="黑体" w:hAnsi="黑体" w:eastAsia="黑体" w:cs="黑体"/>
          <w:spacing w:val="-9"/>
          <w:sz w:val="32"/>
          <w:szCs w:val="32"/>
        </w:rPr>
        <w:t>则</w:t>
      </w:r>
    </w:p>
    <w:p w14:paraId="1DBDA114">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第十七条</w:t>
      </w:r>
      <w:r>
        <w:rPr>
          <w:rFonts w:hint="eastAsia" w:ascii="仿宋" w:hAnsi="仿宋" w:eastAsia="仿宋" w:cs="仿宋"/>
          <w:spacing w:val="-3"/>
          <w:kern w:val="2"/>
          <w:sz w:val="32"/>
          <w:szCs w:val="32"/>
          <w:lang w:val="en-US" w:eastAsia="zh-CN" w:bidi="ar-SA"/>
        </w:rPr>
        <w:t xml:space="preserve"> 本办法由审计室负责解释。</w:t>
      </w:r>
    </w:p>
    <w:p w14:paraId="198D5400">
      <w:pPr>
        <w:pStyle w:val="2"/>
        <w:keepNext w:val="0"/>
        <w:keepLines w:val="0"/>
        <w:pageBreakBefore w:val="0"/>
        <w:widowControl w:val="0"/>
        <w:kinsoku/>
        <w:wordWrap/>
        <w:overflowPunct/>
        <w:topLinePunct w:val="0"/>
        <w:autoSpaceDE/>
        <w:autoSpaceDN/>
        <w:bidi w:val="0"/>
        <w:adjustRightInd/>
        <w:snapToGrid/>
        <w:spacing w:line="560" w:lineRule="exact"/>
        <w:ind w:left="0" w:right="0" w:firstLine="631" w:firstLineChars="200"/>
        <w:textAlignment w:val="auto"/>
        <w:rPr>
          <w:rFonts w:hint="eastAsia" w:ascii="仿宋" w:hAnsi="仿宋" w:eastAsia="仿宋" w:cs="仿宋"/>
          <w:spacing w:val="-3"/>
          <w:kern w:val="2"/>
          <w:sz w:val="32"/>
          <w:szCs w:val="32"/>
          <w:lang w:val="en-US" w:eastAsia="zh-CN" w:bidi="ar-SA"/>
        </w:rPr>
      </w:pPr>
      <w:r>
        <w:rPr>
          <w:rFonts w:hint="eastAsia" w:ascii="仿宋" w:hAnsi="仿宋" w:eastAsia="仿宋" w:cs="仿宋"/>
          <w:b/>
          <w:bCs/>
          <w:spacing w:val="-3"/>
          <w:kern w:val="2"/>
          <w:sz w:val="32"/>
          <w:szCs w:val="32"/>
          <w:lang w:val="en-US" w:eastAsia="zh-CN" w:bidi="ar-SA"/>
        </w:rPr>
        <w:t>第十八条</w:t>
      </w:r>
      <w:r>
        <w:rPr>
          <w:rFonts w:hint="eastAsia" w:ascii="仿宋" w:hAnsi="仿宋" w:eastAsia="仿宋" w:cs="仿宋"/>
          <w:spacing w:val="-3"/>
          <w:kern w:val="2"/>
          <w:sz w:val="32"/>
          <w:szCs w:val="32"/>
          <w:lang w:val="en-US" w:eastAsia="zh-CN" w:bidi="ar-SA"/>
        </w:rPr>
        <w:t xml:space="preserve"> 本办法自印发之日起施行，未尽事宜参照上级相关文件执行，并适时对本办法进行修订。</w:t>
      </w:r>
    </w:p>
    <w:p w14:paraId="3841D250"/>
    <w:p w14:paraId="211003F4">
      <w:pPr>
        <w:jc w:val="center"/>
        <w:rPr>
          <w:rFonts w:hint="default" w:eastAsia="宋体"/>
          <w:b/>
          <w:color w:val="FF0000"/>
          <w:sz w:val="44"/>
          <w:szCs w:val="44"/>
          <w:lang w:val="en-US" w:eastAsia="zh-CN"/>
        </w:rPr>
      </w:pPr>
    </w:p>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长城楷体">
    <w:altName w:val="宋体"/>
    <w:panose1 w:val="02010609000101010101"/>
    <w:charset w:val="86"/>
    <w:family w:val="moder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ingsoft UE">
    <w:panose1 w:val="02000100010000000000"/>
    <w:charset w:val="00"/>
    <w:family w:val="auto"/>
    <w:pitch w:val="default"/>
    <w:sig w:usb0="00000001" w:usb1="00004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2091">
    <w:pPr>
      <w:pStyle w:val="3"/>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070E6CE">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56C">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E3FB6"/>
    <w:rsid w:val="11003973"/>
    <w:rsid w:val="22D35FB3"/>
    <w:rsid w:val="240B1533"/>
    <w:rsid w:val="3CCE564F"/>
    <w:rsid w:val="45CD0190"/>
    <w:rsid w:val="51F62284"/>
    <w:rsid w:val="5A582D49"/>
    <w:rsid w:val="695E3FB6"/>
    <w:rsid w:val="70E26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1"/>
      <w:szCs w:val="31"/>
      <w:lang w:val="en-US" w:eastAsia="en-US" w:bidi="ar-SA"/>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6">
    <w:name w:val="Title"/>
    <w:basedOn w:val="1"/>
    <w:next w:val="1"/>
    <w:qFormat/>
    <w:uiPriority w:val="0"/>
    <w:pPr>
      <w:spacing w:before="240" w:beforeLines="0" w:after="60" w:afterLines="0"/>
      <w:jc w:val="center"/>
      <w:outlineLvl w:val="0"/>
    </w:pPr>
    <w:rPr>
      <w:rFonts w:ascii="Calibri Light" w:hAnsi="Calibri Light" w:eastAsia="宋体" w:cs="黑体"/>
      <w:b/>
      <w:bCs/>
      <w:kern w:val="2"/>
      <w:sz w:val="32"/>
      <w:szCs w:val="32"/>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font21"/>
    <w:basedOn w:val="9"/>
    <w:qFormat/>
    <w:uiPriority w:val="0"/>
    <w:rPr>
      <w:rFonts w:hint="default" w:ascii="Calibri" w:hAnsi="Calibri" w:cs="Calibri"/>
      <w:color w:val="000000"/>
      <w:sz w:val="22"/>
      <w:szCs w:val="22"/>
      <w:u w:val="none"/>
    </w:rPr>
  </w:style>
  <w:style w:type="character" w:customStyle="1" w:styleId="11">
    <w:name w:val="font01"/>
    <w:basedOn w:val="9"/>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2025-09-03T03:01:00Z</dcterms:created>
  <dc:creator>杜春梅</dc:creator>
  <cp:lastModifiedBy>杜春梅</cp:lastModifiedBy>
  <dcterms:modified xsi:type="dcterms:W3CDTF">2025-09-03T03:11:10Z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650A934377FB4884BD8BBC2B7A9F56D5_13</vt:lpwstr>
  </property>
  <property fmtid="{D5CDD505-2E9C-101B-9397-08002B2CF9AE}" pid="4" name="KSOTemplateDocerSaveRecord">
    <vt:lpwstr>eyJoZGlkIjoiOGY4ODMwOWI2ZDE2OWVjY2Y4YWZhZDdhYzI3MTc2NzUiLCJ1c2VySWQiOiIxNjE0NzAwODUzIn0=</vt:lpwstr>
  </property>
</Properties>
</file>