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78D0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615F925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C612F5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  <w:bookmarkStart w:id="4" w:name="_GoBack"/>
      <w:bookmarkEnd w:id="4"/>
    </w:p>
    <w:p w14:paraId="68102555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CA1C26A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706A7C46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33BFFFF0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87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59D006EB">
      <w:pPr>
        <w:jc w:val="center"/>
        <w:rPr>
          <w:rFonts w:hint="eastAsia"/>
          <w:szCs w:val="21"/>
        </w:rPr>
      </w:pPr>
    </w:p>
    <w:p w14:paraId="150734DC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438F7895">
      <w:pPr>
        <w:spacing w:line="62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关于公布202</w:t>
      </w:r>
      <w:r>
        <w:rPr>
          <w:rFonts w:ascii="宋体" w:hAnsi="宋体"/>
          <w:b/>
          <w:bCs/>
          <w:sz w:val="44"/>
          <w:szCs w:val="44"/>
        </w:rPr>
        <w:t>5</w:t>
      </w:r>
      <w:r>
        <w:rPr>
          <w:rFonts w:hint="eastAsia" w:ascii="宋体" w:hAnsi="宋体"/>
          <w:b/>
          <w:bCs/>
          <w:sz w:val="44"/>
          <w:szCs w:val="44"/>
        </w:rPr>
        <w:t>年第二批硕士研究生指导</w:t>
      </w:r>
    </w:p>
    <w:p w14:paraId="6B1E1186">
      <w:pPr>
        <w:spacing w:line="62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教师资格认定结果的通知</w:t>
      </w:r>
    </w:p>
    <w:p w14:paraId="04AA3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 w:val="0"/>
          <w:bCs w:val="0"/>
          <w:sz w:val="44"/>
          <w:szCs w:val="44"/>
        </w:rPr>
      </w:pPr>
    </w:p>
    <w:p w14:paraId="43CD6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全校各单位：</w:t>
      </w:r>
    </w:p>
    <w:p w14:paraId="4087E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根据学校相关文件精神，由学校学位评定委员会对各分委员会通过的推荐人员进行认定。现公布202</w:t>
      </w:r>
      <w:r>
        <w:rPr>
          <w:rFonts w:ascii="仿宋_GB2312" w:hAnsi="仿宋_GB2312" w:eastAsia="仿宋_GB2312" w:cs="仿宋_GB2312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年第二批硕士研究生指导教师资格认定结果。</w:t>
      </w:r>
    </w:p>
    <w:p w14:paraId="0D023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一、学术学位硕士研究生指导教师</w:t>
      </w:r>
    </w:p>
    <w:p w14:paraId="16AF4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根据《河北建筑工程学院研究生指导教师选聘管理办法（修订）》（校政〔2025〕58号）文件规定，在个人申报、学科导师组同意、各二级院（系）学位评定分委员会初审的基础上，经审核，授予</w:t>
      </w:r>
      <w:r>
        <w:rPr>
          <w:rFonts w:ascii="仿宋_GB2312" w:hAnsi="仿宋_GB2312" w:eastAsia="仿宋_GB2312" w:cs="仿宋_GB2312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名教师学术学位硕士研究生指导教师资格，名单如下：</w:t>
      </w:r>
    </w:p>
    <w:p w14:paraId="5AD7E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（一）土木工程学院</w:t>
      </w:r>
    </w:p>
    <w:p w14:paraId="2607F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土木工程：张波</w:t>
      </w:r>
    </w:p>
    <w:p w14:paraId="6A61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（二）建筑与艺术学院</w:t>
      </w:r>
    </w:p>
    <w:p w14:paraId="181E2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建筑学：</w:t>
      </w:r>
      <w:bookmarkStart w:id="0" w:name="OLE_LINK2"/>
      <w:r>
        <w:rPr>
          <w:rFonts w:hint="eastAsia" w:ascii="仿宋_GB2312" w:hAnsi="仿宋_GB2312" w:eastAsia="仿宋_GB2312" w:cs="仿宋_GB2312"/>
          <w:sz w:val="32"/>
          <w:szCs w:val="32"/>
        </w:rPr>
        <w:t>张鑫、王苗</w:t>
      </w:r>
      <w:bookmarkEnd w:id="0"/>
    </w:p>
    <w:p w14:paraId="0BB92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（三）市政与环境工程系</w:t>
      </w:r>
    </w:p>
    <w:p w14:paraId="5A81D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土木工程：李军</w:t>
      </w:r>
    </w:p>
    <w:p w14:paraId="55464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二、专业学位硕士研究生指导教师</w:t>
      </w:r>
    </w:p>
    <w:p w14:paraId="43E34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根据《河北建筑工程学院研究生指导教师选聘管理办法（修订）》（校政〔2025〕58号）文件规定，在个人申报、学科导师组同意、各二级院（系）学位评定分委员会初审的基础上，经审核，授予</w:t>
      </w:r>
      <w:r>
        <w:rPr>
          <w:rFonts w:ascii="仿宋_GB2312" w:hAnsi="仿宋_GB2312" w:eastAsia="仿宋_GB2312" w:cs="仿宋_GB2312"/>
          <w:sz w:val="32"/>
          <w:szCs w:val="32"/>
        </w:rPr>
        <w:t>13</w:t>
      </w:r>
      <w:r>
        <w:rPr>
          <w:rFonts w:hint="eastAsia" w:ascii="仿宋_GB2312" w:hAnsi="仿宋_GB2312" w:eastAsia="仿宋_GB2312" w:cs="仿宋_GB2312"/>
          <w:sz w:val="32"/>
          <w:szCs w:val="32"/>
        </w:rPr>
        <w:t>名教师专业学位硕士研究生指导教师资格，名单如下：</w:t>
      </w:r>
    </w:p>
    <w:p w14:paraId="0D427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（一）土木工程学院</w:t>
      </w:r>
    </w:p>
    <w:p w14:paraId="6A8E5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土木水利：</w:t>
      </w:r>
      <w:bookmarkStart w:id="1" w:name="OLE_LINK4"/>
      <w:r>
        <w:rPr>
          <w:rFonts w:hint="eastAsia" w:ascii="仿宋_GB2312" w:hAnsi="仿宋_GB2312" w:eastAsia="仿宋_GB2312" w:cs="仿宋_GB2312"/>
          <w:sz w:val="32"/>
          <w:szCs w:val="32"/>
        </w:rPr>
        <w:t>张波</w:t>
      </w:r>
      <w:bookmarkEnd w:id="1"/>
    </w:p>
    <w:p w14:paraId="10052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（二）建筑与艺术学院</w:t>
      </w:r>
    </w:p>
    <w:p w14:paraId="6E36B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设计：姚冰</w:t>
      </w:r>
    </w:p>
    <w:p w14:paraId="0323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（三）市政与环境工程系</w:t>
      </w:r>
    </w:p>
    <w:p w14:paraId="2FF70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资源与环境：杨国丽、李军</w:t>
      </w:r>
    </w:p>
    <w:p w14:paraId="70D0F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（四）信息工程学院</w:t>
      </w:r>
    </w:p>
    <w:p w14:paraId="6D25E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电子信息：付江龙、李胜东</w:t>
      </w:r>
    </w:p>
    <w:p w14:paraId="7F709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（五）经济管理学院</w:t>
      </w:r>
    </w:p>
    <w:p w14:paraId="553E2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土木水利：王文鑫、丁泓翔</w:t>
      </w:r>
    </w:p>
    <w:p w14:paraId="650A6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（六）数理系</w:t>
      </w:r>
    </w:p>
    <w:p w14:paraId="46C77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电子信息：李卫强、赵聪聪</w:t>
      </w:r>
    </w:p>
    <w:p w14:paraId="5F84E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能源动力：郭新月</w:t>
      </w:r>
    </w:p>
    <w:p w14:paraId="35593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（七）机械工程学院</w:t>
      </w:r>
    </w:p>
    <w:p w14:paraId="52D21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机械：任静霄</w:t>
      </w:r>
    </w:p>
    <w:p w14:paraId="4035E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（八）电气工程学院</w:t>
      </w:r>
    </w:p>
    <w:p w14:paraId="7DFDD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机械：畅瑞江</w:t>
      </w:r>
    </w:p>
    <w:p w14:paraId="031A5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三、硕士研究生副导师</w:t>
      </w:r>
    </w:p>
    <w:p w14:paraId="135DE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根据《河北建筑工程学院研究生指导教师选聘管理办法（修订）》（校政〔2025〕58号）文件规定，在个人申报、学科导师组同意、各二级院（系）学位评定分委员会初审的基础上，经审核，授予</w:t>
      </w:r>
      <w:r>
        <w:rPr>
          <w:rFonts w:ascii="仿宋_GB2312" w:hAnsi="仿宋_GB2312" w:eastAsia="仿宋_GB2312" w:cs="仿宋_GB2312"/>
          <w:sz w:val="32"/>
          <w:szCs w:val="32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</w:rPr>
        <w:t>名教师硕士研究生副导师资格，名单如下：</w:t>
      </w:r>
    </w:p>
    <w:p w14:paraId="585F9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（一）土木工程学院</w:t>
      </w:r>
    </w:p>
    <w:p w14:paraId="7A96B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土木工程/土木水利：刘铂，对应第一导师：郝勇</w:t>
      </w:r>
    </w:p>
    <w:p w14:paraId="5F998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（二）建筑与艺术学院</w:t>
      </w:r>
    </w:p>
    <w:p w14:paraId="34831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建筑学/设计：张宇，对应第一导师：朱子君</w:t>
      </w:r>
    </w:p>
    <w:p w14:paraId="548CF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建筑学/设计：梅兰，对应第一导师：林大岵</w:t>
      </w:r>
    </w:p>
    <w:p w14:paraId="0086B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（三）信息工程学院</w:t>
      </w:r>
    </w:p>
    <w:p w14:paraId="5D8EE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电子信息：秦晓慧，对应第一导师：麻振华</w:t>
      </w:r>
    </w:p>
    <w:p w14:paraId="0615D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（四）数理系</w:t>
      </w:r>
    </w:p>
    <w:p w14:paraId="389EF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电子信息：郭雅静，对应第一导师：邓全才</w:t>
      </w:r>
    </w:p>
    <w:p w14:paraId="01A61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（五）能源工程系</w:t>
      </w:r>
    </w:p>
    <w:p w14:paraId="68995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土木工程/能源动力：王一超，对应第一导师：师涌江</w:t>
      </w:r>
    </w:p>
    <w:p w14:paraId="42DEF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土木工程/能源动力：田亚男，对应第一导师：师涌江</w:t>
      </w:r>
    </w:p>
    <w:p w14:paraId="271D0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土木工程/能源动力：卜跃刚，对应第一导师：孙勇</w:t>
      </w:r>
    </w:p>
    <w:p w14:paraId="6387C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（六）机械工程学院</w:t>
      </w:r>
    </w:p>
    <w:p w14:paraId="45DD7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机械：任志国，对应第一导师：王占英</w:t>
      </w:r>
    </w:p>
    <w:p w14:paraId="18C7C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四、行业企业导师</w:t>
      </w:r>
    </w:p>
    <w:p w14:paraId="5E97F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根据《河北建筑工程学院研究生指导教师选聘管理办法（修订）》（校政〔2025〕58号）文件规定，在个人申报、学科导师组同意、各二级院（系）学位评定分委员会初审的基础上，经审核，授予</w:t>
      </w:r>
      <w:r>
        <w:rPr>
          <w:rFonts w:ascii="仿宋_GB2312" w:hAnsi="仿宋_GB2312" w:eastAsia="仿宋_GB2312" w:cs="仿宋_GB2312"/>
          <w:sz w:val="32"/>
          <w:szCs w:val="32"/>
        </w:rPr>
        <w:t>11</w:t>
      </w:r>
      <w:r>
        <w:rPr>
          <w:rFonts w:hint="eastAsia" w:ascii="仿宋_GB2312" w:hAnsi="仿宋_GB2312" w:eastAsia="仿宋_GB2312" w:cs="仿宋_GB2312"/>
          <w:sz w:val="32"/>
          <w:szCs w:val="32"/>
        </w:rPr>
        <w:t>名教师行业企业导师资格，名单如下：</w:t>
      </w:r>
    </w:p>
    <w:p w14:paraId="56831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（一）土木工程学院</w:t>
      </w:r>
    </w:p>
    <w:p w14:paraId="38DC0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土木水利：董涛（广东省华南岩土工程有限公司）、王纯岩（中国二十冶集团有限公司）</w:t>
      </w:r>
    </w:p>
    <w:p w14:paraId="1A799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（二）经济管理学院</w:t>
      </w:r>
    </w:p>
    <w:p w14:paraId="1946E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土木水利：牛庆丰（中材节能股份有限公司）</w:t>
      </w:r>
    </w:p>
    <w:p w14:paraId="14089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（三）能源工程系</w:t>
      </w:r>
    </w:p>
    <w:p w14:paraId="38C81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能源动力：李伟（张家口市市政公用热力有限责任公司）</w:t>
      </w:r>
    </w:p>
    <w:p w14:paraId="74557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（四）机械工程学院</w:t>
      </w:r>
    </w:p>
    <w:p w14:paraId="221EE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机械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贾英新（河北省机电一体化中试基地有限公司）、庞增拴（河北省机电一体化中试基地有限公司）、张震（河北省机电一体化中试基地有限公司）、</w:t>
      </w:r>
      <w:bookmarkStart w:id="2" w:name="OLE_LINK1"/>
      <w:r>
        <w:rPr>
          <w:rFonts w:hint="eastAsia" w:ascii="仿宋_GB2312" w:hAnsi="仿宋_GB2312" w:eastAsia="仿宋_GB2312" w:cs="仿宋_GB2312"/>
          <w:sz w:val="32"/>
          <w:szCs w:val="32"/>
        </w:rPr>
        <w:t>马俊江</w:t>
      </w:r>
      <w:bookmarkEnd w:id="2"/>
      <w:r>
        <w:rPr>
          <w:rFonts w:hint="eastAsia" w:ascii="仿宋_GB2312" w:hAnsi="仿宋_GB2312" w:eastAsia="仿宋_GB2312" w:cs="仿宋_GB2312"/>
          <w:sz w:val="32"/>
          <w:szCs w:val="32"/>
        </w:rPr>
        <w:t>（秦皇岛天业通联重工科技有限公司）、张晓丹（钢铁研究总院有限公司）</w:t>
      </w:r>
    </w:p>
    <w:p w14:paraId="59A4F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（五）电气工程学院</w:t>
      </w:r>
    </w:p>
    <w:p w14:paraId="43BF5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机械：宋星乐（国网张家口市万全区供电公司）、丁金燕（杭州华新机电工程有限公司）</w:t>
      </w:r>
    </w:p>
    <w:p w14:paraId="2E5C8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五、硕士研究生校外导师</w:t>
      </w:r>
    </w:p>
    <w:p w14:paraId="216E1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根据《河北建筑工程学院研究生指导教师选聘管理办法（修订）》（校政〔2025〕58号）文件规定，在个人申报、学科导师组同意、各二级院（系）学位评定分委员会初审的基础上，经审核，授予1</w:t>
      </w:r>
      <w:r>
        <w:rPr>
          <w:rFonts w:ascii="仿宋_GB2312" w:hAnsi="仿宋_GB2312" w:eastAsia="仿宋_GB2312" w:cs="仿宋_GB2312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名教师硕士研究生校外导师资格，名单如下：</w:t>
      </w:r>
    </w:p>
    <w:p w14:paraId="2F8C3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土木工程/土木水利：刘建友（中铁工程设计咨询集团有限公司），对应校内第二导师：董捷</w:t>
      </w:r>
    </w:p>
    <w:p w14:paraId="28C4A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资源与环境：张玉翠（中国科学院遗传与发育生物学研究所农业资源研究中心）</w:t>
      </w:r>
      <w:bookmarkStart w:id="3" w:name="_Hlk186119386"/>
      <w:r>
        <w:rPr>
          <w:rFonts w:hint="eastAsia" w:ascii="仿宋_GB2312" w:hAnsi="仿宋_GB2312" w:eastAsia="仿宋_GB2312" w:cs="仿宋_GB2312"/>
          <w:sz w:val="32"/>
          <w:szCs w:val="20"/>
        </w:rPr>
        <w:t>，对应校内第二导师：裴宏伟</w:t>
      </w:r>
    </w:p>
    <w:p w14:paraId="1E505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资源与环境：董宝娣（中国科学院遗传与发育生物学研究所农业资源研究中心），对应校内第二导师：裴宏伟</w:t>
      </w:r>
    </w:p>
    <w:p w14:paraId="4C7C4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资源与环境：刘秀位（中国科学院遗传与发育生物学研究所农业资源研究中心），对应校内第二导师：裴宏伟</w:t>
      </w:r>
    </w:p>
    <w:p w14:paraId="50167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资源与环境：董心亮（中国科学院遗传与发育生物学研究所农业资源研究中心），对应校内第二导师：裴宏伟</w:t>
      </w:r>
    </w:p>
    <w:p w14:paraId="4E228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资源与环境：王金涛（中国科学院遗传与发育生物学研究所农业资源研究中心），对应校内第二导师：裴宏伟</w:t>
      </w:r>
    </w:p>
    <w:p w14:paraId="64973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资源与环境：刘夏（中国科学院遗传与发育生物学研究所农业资源研究中心），对应校内第二导师：裴宏伟</w:t>
      </w:r>
    </w:p>
    <w:p w14:paraId="7307F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资源与环境：沈彦军（中国科学院遗传与发育生物学研究所农业资源研究中心），对应校内第二导师：裴宏伟</w:t>
      </w:r>
    </w:p>
    <w:p w14:paraId="13931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资源与环境：王乾（中国地质科学院水文地质环境地质研究所），对应校内第二导师：郝桂珍</w:t>
      </w:r>
    </w:p>
    <w:p w14:paraId="636AE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资源与环境：任斌（河北省科学院能源研究所），对应校内第二导师：郝桂珍</w:t>
      </w:r>
    </w:p>
    <w:p w14:paraId="4816A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资源与环境：李海花（河北省科学院能源研究所），对应校内第二导师：郝桂珍</w:t>
      </w:r>
    </w:p>
    <w:p w14:paraId="68FD4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资源与环境：高玉华（河北省科学院能源研究所），对应校内第二导师：郝桂珍</w:t>
      </w:r>
    </w:p>
    <w:p w14:paraId="08A98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20"/>
        </w:rPr>
        <w:t>资源与环境：张秋英（中国环境科学研究院），对应校内第二导师：裴宏伟</w:t>
      </w:r>
    </w:p>
    <w:p w14:paraId="47381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84" w:firstLineChars="200"/>
        <w:textAlignment w:val="auto"/>
        <w:rPr>
          <w:rFonts w:ascii="仿宋_GB2312" w:hAnsi="仿宋_GB2312" w:eastAsia="仿宋_GB2312" w:cs="仿宋_GB2312"/>
          <w:sz w:val="32"/>
          <w:szCs w:val="20"/>
        </w:rPr>
      </w:pPr>
      <w:r>
        <w:rPr>
          <w:rFonts w:hint="eastAsia" w:ascii="仿宋_GB2312" w:hAnsi="仿宋_GB2312" w:eastAsia="仿宋_GB2312" w:cs="仿宋_GB2312"/>
          <w:spacing w:val="11"/>
          <w:sz w:val="32"/>
          <w:szCs w:val="20"/>
        </w:rPr>
        <w:t>能源动力</w:t>
      </w:r>
      <w:r>
        <w:rPr>
          <w:rFonts w:hint="eastAsia" w:ascii="仿宋_GB2312" w:hAnsi="仿宋_GB2312" w:eastAsia="仿宋_GB2312" w:cs="仿宋_GB2312"/>
          <w:spacing w:val="11"/>
          <w:sz w:val="32"/>
          <w:szCs w:val="20"/>
          <w:lang w:eastAsia="zh-CN"/>
        </w:rPr>
        <w:t>：</w:t>
      </w:r>
      <w:r>
        <w:rPr>
          <w:rFonts w:hint="eastAsia"/>
          <w:spacing w:val="11"/>
        </w:rPr>
        <w:t xml:space="preserve"> </w:t>
      </w:r>
      <w:r>
        <w:rPr>
          <w:rFonts w:hint="eastAsia" w:ascii="仿宋_GB2312" w:hAnsi="仿宋_GB2312" w:eastAsia="仿宋_GB2312" w:cs="仿宋_GB2312"/>
          <w:spacing w:val="11"/>
          <w:sz w:val="32"/>
          <w:szCs w:val="20"/>
        </w:rPr>
        <w:t>孔德霞（华宇工学院），对应校内第二导师：</w:t>
      </w:r>
      <w:r>
        <w:rPr>
          <w:rFonts w:hint="eastAsia" w:ascii="仿宋_GB2312" w:hAnsi="仿宋_GB2312" w:eastAsia="仿宋_GB2312" w:cs="仿宋_GB2312"/>
          <w:sz w:val="32"/>
          <w:szCs w:val="20"/>
        </w:rPr>
        <w:t>张宏喜</w:t>
      </w:r>
      <w:bookmarkEnd w:id="3"/>
    </w:p>
    <w:p w14:paraId="591B6ACA">
      <w:pPr>
        <w:wordWrap w:val="0"/>
        <w:spacing w:line="500" w:lineRule="exact"/>
        <w:jc w:val="right"/>
        <w:rPr>
          <w:rFonts w:ascii="仿宋_GB2312" w:hAnsi="仿宋_GB2312" w:eastAsia="仿宋_GB2312" w:cs="仿宋_GB2312"/>
          <w:sz w:val="32"/>
          <w:szCs w:val="20"/>
        </w:rPr>
      </w:pPr>
    </w:p>
    <w:p w14:paraId="6D0B1ABC">
      <w:pPr>
        <w:wordWrap w:val="0"/>
        <w:spacing w:line="500" w:lineRule="exact"/>
        <w:jc w:val="right"/>
        <w:rPr>
          <w:rFonts w:ascii="仿宋_GB2312" w:hAnsi="仿宋_GB2312" w:eastAsia="仿宋_GB2312" w:cs="仿宋_GB2312"/>
          <w:sz w:val="32"/>
          <w:szCs w:val="20"/>
        </w:rPr>
      </w:pPr>
    </w:p>
    <w:p w14:paraId="353FF093">
      <w:pPr>
        <w:wordWrap w:val="0"/>
        <w:spacing w:line="500" w:lineRule="exact"/>
        <w:jc w:val="right"/>
        <w:rPr>
          <w:rFonts w:ascii="仿宋_GB2312" w:hAnsi="仿宋_GB2312" w:eastAsia="仿宋_GB2312" w:cs="仿宋_GB2312"/>
          <w:sz w:val="32"/>
          <w:szCs w:val="20"/>
        </w:rPr>
      </w:pPr>
    </w:p>
    <w:p w14:paraId="06FB8E05">
      <w:pPr>
        <w:wordWrap w:val="0"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  <w:r>
        <w:rPr>
          <w:rFonts w:ascii="仿宋_GB2312" w:hAnsi="仿宋_GB2312" w:eastAsia="仿宋_GB2312" w:cs="仿宋_GB2312"/>
          <w:sz w:val="32"/>
          <w:szCs w:val="20"/>
        </w:rPr>
        <w:t>2025年</w:t>
      </w:r>
      <w:r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  <w:t>9</w:t>
      </w:r>
      <w:r>
        <w:rPr>
          <w:rFonts w:ascii="仿宋_GB2312" w:hAnsi="仿宋_GB2312" w:eastAsia="仿宋_GB2312" w:cs="仿宋_GB2312"/>
          <w:sz w:val="32"/>
          <w:szCs w:val="20"/>
        </w:rPr>
        <w:t>月2</w:t>
      </w:r>
      <w:r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  <w:t xml:space="preserve">日  </w:t>
      </w:r>
    </w:p>
    <w:p w14:paraId="419DBB44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3DB921D0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3462FCA9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668B204C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2C7AA6A3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140A99AE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74357AB5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7CCDEB96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29EAF4B6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712B1E15">
      <w:pPr>
        <w:wordWrap/>
        <w:spacing w:line="500" w:lineRule="exact"/>
        <w:jc w:val="right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3682D84D">
      <w:pPr>
        <w:wordWrap/>
        <w:spacing w:line="500" w:lineRule="exact"/>
        <w:jc w:val="both"/>
        <w:rPr>
          <w:rFonts w:hint="eastAsia" w:ascii="仿宋_GB2312" w:hAnsi="仿宋_GB2312" w:eastAsia="仿宋_GB2312" w:cs="仿宋_GB2312"/>
          <w:sz w:val="32"/>
          <w:szCs w:val="20"/>
          <w:lang w:val="en-US" w:eastAsia="zh-CN"/>
        </w:rPr>
      </w:pPr>
    </w:p>
    <w:p w14:paraId="488E46A8">
      <w:pPr>
        <w:wordWrap/>
        <w:spacing w:line="500" w:lineRule="exact"/>
        <w:jc w:val="right"/>
        <w:rPr>
          <w:rFonts w:hint="default" w:ascii="仿宋_GB2312" w:hAnsi="仿宋_GB2312" w:eastAsia="仿宋_GB2312" w:cs="仿宋_GB2312"/>
          <w:sz w:val="32"/>
          <w:szCs w:val="20"/>
          <w:lang w:val="en-US" w:eastAsia="zh-CN"/>
        </w:rPr>
      </w:pPr>
    </w:p>
    <w:p w14:paraId="73B17EA6">
      <w:pPr>
        <w:wordWrap/>
        <w:spacing w:line="500" w:lineRule="exact"/>
        <w:jc w:val="right"/>
        <w:rPr>
          <w:rFonts w:hint="default" w:ascii="仿宋_GB2312" w:hAnsi="仿宋_GB2312" w:eastAsia="仿宋_GB2312" w:cs="仿宋_GB2312"/>
          <w:sz w:val="32"/>
          <w:szCs w:val="20"/>
          <w:lang w:val="en-US" w:eastAsia="zh-CN"/>
        </w:rPr>
      </w:pPr>
    </w:p>
    <w:p w14:paraId="1A49B270">
      <w:pPr>
        <w:wordWrap/>
        <w:spacing w:line="500" w:lineRule="exact"/>
        <w:jc w:val="right"/>
        <w:rPr>
          <w:rFonts w:hint="default" w:ascii="仿宋_GB2312" w:hAnsi="仿宋_GB2312" w:eastAsia="仿宋_GB2312" w:cs="仿宋_GB2312"/>
          <w:sz w:val="32"/>
          <w:szCs w:val="20"/>
          <w:lang w:val="en-US" w:eastAsia="zh-CN"/>
        </w:rPr>
      </w:pPr>
    </w:p>
    <w:p w14:paraId="60CE82C3">
      <w:pPr>
        <w:wordWrap/>
        <w:spacing w:line="500" w:lineRule="exact"/>
        <w:jc w:val="right"/>
        <w:rPr>
          <w:rFonts w:hint="default" w:ascii="仿宋_GB2312" w:hAnsi="仿宋_GB2312" w:eastAsia="仿宋_GB2312" w:cs="仿宋_GB2312"/>
          <w:sz w:val="32"/>
          <w:szCs w:val="20"/>
          <w:lang w:val="en-US" w:eastAsia="zh-CN"/>
        </w:rPr>
      </w:pPr>
    </w:p>
    <w:p w14:paraId="66D73F18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11420A91"/>
    <w:p w14:paraId="2A113863"/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长城楷体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42091">
    <w:pPr>
      <w:pStyle w:val="2"/>
      <w:jc w:val="right"/>
      <w:rPr>
        <w:rFonts w:ascii="宋体" w:hAnsi="宋体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70E6CE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070E6CE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3056C"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E3FB6"/>
    <w:rsid w:val="11003973"/>
    <w:rsid w:val="22D35FB3"/>
    <w:rsid w:val="3CCE564F"/>
    <w:rsid w:val="51F62284"/>
    <w:rsid w:val="695E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Title"/>
    <w:basedOn w:val="1"/>
    <w:next w:val="1"/>
    <w:qFormat/>
    <w:uiPriority w:val="0"/>
    <w:pPr>
      <w:spacing w:before="240" w:beforeLines="0" w:after="60" w:afterLines="0"/>
      <w:jc w:val="center"/>
      <w:outlineLvl w:val="0"/>
    </w:pPr>
    <w:rPr>
      <w:rFonts w:ascii="Calibri Light" w:hAnsi="Calibri Light" w:eastAsia="宋体" w:cs="黑体"/>
      <w:b/>
      <w:bCs/>
      <w:kern w:val="2"/>
      <w:sz w:val="32"/>
      <w:szCs w:val="32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font21"/>
    <w:basedOn w:val="8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10">
    <w:name w:val="font0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2025-09-03T03:01:00Z</dcterms:created>
  <dc:creator>杜春梅</dc:creator>
  <cp:lastModifiedBy>杜春梅</cp:lastModifiedBy>
  <dcterms:modified xsi:type="dcterms:W3CDTF">2025-09-03T03:05:01Z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0A79A7D1E254420AAB69FA72EBA1FA14_13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