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578D0C">
      <w:pPr>
        <w:jc w:val="center"/>
        <w:rPr>
          <w:rFonts w:hint="default" w:eastAsia="宋体"/>
          <w:b/>
          <w:color w:val="FF0000"/>
          <w:sz w:val="44"/>
          <w:szCs w:val="44"/>
          <w:lang w:val="en-US" w:eastAsia="zh-CN"/>
        </w:rPr>
      </w:pPr>
    </w:p>
    <w:p w14:paraId="4D0076A6">
      <w:pPr>
        <w:jc w:val="center"/>
        <w:rPr>
          <w:rFonts w:hint="default" w:eastAsia="宋体"/>
          <w:b/>
          <w:color w:val="FF0000"/>
          <w:sz w:val="44"/>
          <w:szCs w:val="44"/>
          <w:lang w:val="en-US" w:eastAsia="zh-CN"/>
        </w:rPr>
      </w:pPr>
    </w:p>
    <w:p w14:paraId="2151B0EF">
      <w:pPr>
        <w:jc w:val="center"/>
        <w:rPr>
          <w:rFonts w:hint="default" w:eastAsia="宋体"/>
          <w:b/>
          <w:color w:val="FF0000"/>
          <w:sz w:val="44"/>
          <w:szCs w:val="44"/>
          <w:lang w:val="en-US" w:eastAsia="zh-CN"/>
        </w:rPr>
      </w:pPr>
    </w:p>
    <w:p w14:paraId="1E1A7CFE">
      <w:pPr>
        <w:jc w:val="center"/>
        <w:rPr>
          <w:rFonts w:hint="default" w:eastAsia="宋体"/>
          <w:b/>
          <w:color w:val="FF0000"/>
          <w:sz w:val="44"/>
          <w:szCs w:val="44"/>
          <w:lang w:val="en-US" w:eastAsia="zh-CN"/>
        </w:rPr>
      </w:pPr>
    </w:p>
    <w:p w14:paraId="3DF10CB9">
      <w:pPr>
        <w:jc w:val="center"/>
        <w:rPr>
          <w:rFonts w:hint="default" w:eastAsia="宋体"/>
          <w:b/>
          <w:color w:val="FF0000"/>
          <w:sz w:val="44"/>
          <w:szCs w:val="44"/>
          <w:lang w:val="en-US" w:eastAsia="zh-CN"/>
        </w:rPr>
      </w:pPr>
    </w:p>
    <w:p w14:paraId="7498B582">
      <w:pPr>
        <w:jc w:val="center"/>
        <w:rPr>
          <w:rFonts w:hint="default" w:eastAsia="宋体"/>
          <w:b/>
          <w:color w:val="FF0000"/>
          <w:sz w:val="44"/>
          <w:szCs w:val="44"/>
          <w:lang w:val="en-US" w:eastAsia="zh-CN"/>
        </w:rPr>
      </w:pPr>
    </w:p>
    <w:p w14:paraId="5E1BE20A">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740ED275">
      <w:pPr>
        <w:ind w:firstLine="270" w:firstLineChars="100"/>
        <w:jc w:val="both"/>
        <w:rPr>
          <w:rFonts w:hint="eastAsia" w:ascii="宋体" w:hAnsi="宋体"/>
          <w:color w:val="000000"/>
          <w:sz w:val="27"/>
          <w:szCs w:val="27"/>
        </w:rPr>
      </w:pPr>
    </w:p>
    <w:p w14:paraId="2B03F13A">
      <w:pPr>
        <w:jc w:val="center"/>
        <w:rPr>
          <w:rFonts w:hint="default" w:ascii="宋体" w:hAnsi="宋体"/>
          <w:szCs w:val="21"/>
          <w:lang w:val="en-US"/>
        </w:rPr>
      </w:pPr>
      <w:bookmarkStart w:id="0"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2025</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89</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1" name="直接连接符 1"/>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Ldofs/s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UmTwJkDSxd+&#10;9/nHr09f739+ofXu+zc2zSL1ASuKvXWbeNph2MTM+NBEm//EhR0GYY9nYdUhMUGH8+nVbD4nzcWD&#10;r/iTGCKm18pblo2aG+0yZ6hg/wYTFaPQh5B8bBzra/7yelpmPKAJbOjmybSBWKBrh2T0Rsu1Nian&#10;YGy3tyayPdAUrNclfZkTAf8VlqusALsxbnCN89EpkK+cZOkYSB9Hz4LnHqySnBlFryhbBAhVAm0u&#10;iaTSxuUENczoiWgWeZQ1W1svj3Q3uxB125Ewwz0U2UOzMHR/mts8bI/3ZD9+q8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gkfNW9gAAAAIAQAADwAAAAAAAAABACAAAAAiAAAAZHJzL2Rvd25yZXYu&#10;eG1sUEsBAhQAFAAAAAgAh07iQC3aH7P7AQAA8wMAAA4AAAAAAAAAAQAgAAAAJwEAAGRycy9lMm9E&#10;b2MueG1sUEsFBgAAAAAGAAYAWQEAAJQFAAAAAA==&#10;">
                <v:fill on="f" focussize="0,0"/>
                <v:stroke weight="3pt" color="#FF0000" joinstyle="round"/>
                <v:imagedata o:title=""/>
                <o:lock v:ext="edit" aspectratio="f"/>
              </v:line>
            </w:pict>
          </mc:Fallback>
        </mc:AlternateContent>
      </w:r>
    </w:p>
    <w:bookmarkEnd w:id="0"/>
    <w:p w14:paraId="79A58F40">
      <w:pPr>
        <w:jc w:val="center"/>
        <w:rPr>
          <w:rFonts w:hint="eastAsia"/>
          <w:szCs w:val="21"/>
        </w:rPr>
      </w:pPr>
    </w:p>
    <w:p w14:paraId="2595F839">
      <w:pPr>
        <w:jc w:val="center"/>
        <w:rPr>
          <w:rFonts w:hint="eastAsia" w:eastAsia="宋体"/>
          <w:szCs w:val="21"/>
          <w:lang w:val="en-US" w:eastAsia="zh-CN"/>
        </w:rPr>
      </w:pPr>
      <w:r>
        <w:rPr>
          <w:rFonts w:hint="eastAsia"/>
          <w:szCs w:val="21"/>
          <w:lang w:val="en-US" w:eastAsia="zh-CN"/>
        </w:rPr>
        <w:t xml:space="preserve"> </w:t>
      </w:r>
    </w:p>
    <w:p w14:paraId="545767E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关于印发《河北建筑工程学院</w:t>
      </w:r>
    </w:p>
    <w:p w14:paraId="217E2A05">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b/>
          <w:bCs/>
          <w:spacing w:val="0"/>
          <w:sz w:val="44"/>
          <w:szCs w:val="44"/>
          <w:lang w:val="en-US" w:eastAsia="zh-CN"/>
        </w:rPr>
      </w:pPr>
      <w:r>
        <w:rPr>
          <w:rFonts w:hint="eastAsia" w:ascii="宋体" w:hAnsi="宋体"/>
          <w:b/>
          <w:bCs/>
          <w:spacing w:val="0"/>
          <w:sz w:val="44"/>
          <w:szCs w:val="44"/>
          <w:lang w:val="en-US" w:eastAsia="zh-CN"/>
        </w:rPr>
        <w:t>内部控制建设实施管理办法（修订）》的</w:t>
      </w:r>
    </w:p>
    <w:p w14:paraId="2493D467">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b/>
          <w:bCs/>
          <w:spacing w:val="0"/>
          <w:sz w:val="44"/>
          <w:szCs w:val="44"/>
          <w:lang w:val="en-US" w:eastAsia="zh-CN"/>
        </w:rPr>
      </w:pPr>
      <w:r>
        <w:rPr>
          <w:rFonts w:hint="eastAsia" w:ascii="宋体" w:hAnsi="宋体"/>
          <w:b/>
          <w:bCs/>
          <w:spacing w:val="0"/>
          <w:sz w:val="44"/>
          <w:szCs w:val="44"/>
          <w:lang w:val="en-US" w:eastAsia="zh-CN"/>
        </w:rPr>
        <w:t>通 知</w:t>
      </w:r>
    </w:p>
    <w:p w14:paraId="0AD8EA19">
      <w:pPr>
        <w:keepNext w:val="0"/>
        <w:keepLines w:val="0"/>
        <w:pageBreakBefore w:val="0"/>
        <w:widowControl w:val="0"/>
        <w:kinsoku/>
        <w:wordWrap/>
        <w:overflowPunct/>
        <w:topLinePunct w:val="0"/>
        <w:autoSpaceDE/>
        <w:autoSpaceDN/>
        <w:bidi w:val="0"/>
        <w:adjustRightInd/>
        <w:snapToGrid/>
        <w:spacing w:line="620" w:lineRule="exact"/>
        <w:jc w:val="both"/>
        <w:textAlignment w:val="auto"/>
        <w:rPr>
          <w:rFonts w:hint="eastAsia" w:ascii="宋体" w:hAnsi="宋体"/>
          <w:b/>
          <w:bCs/>
          <w:spacing w:val="-12"/>
          <w:sz w:val="44"/>
          <w:szCs w:val="44"/>
        </w:rPr>
      </w:pPr>
    </w:p>
    <w:p w14:paraId="2EFA3AA2">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 w:hAnsi="仿宋" w:eastAsia="仿宋" w:cs="仿宋"/>
          <w:sz w:val="32"/>
          <w:szCs w:val="32"/>
        </w:rPr>
      </w:pPr>
      <w:r>
        <w:rPr>
          <w:rFonts w:hint="eastAsia" w:ascii="仿宋" w:hAnsi="仿宋" w:eastAsia="仿宋" w:cs="仿宋"/>
          <w:sz w:val="32"/>
          <w:szCs w:val="32"/>
        </w:rPr>
        <w:t>全校各单位：</w:t>
      </w:r>
    </w:p>
    <w:p w14:paraId="18C0FDE4">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_GB2312" w:hAnsi="仿宋" w:eastAsia="仿宋_GB2312" w:cs="仿宋"/>
          <w:sz w:val="32"/>
          <w:szCs w:val="32"/>
        </w:rPr>
      </w:pPr>
      <w:r>
        <w:rPr>
          <w:rFonts w:hint="eastAsia" w:ascii="仿宋" w:hAnsi="仿宋" w:eastAsia="仿宋" w:cs="仿宋"/>
          <w:sz w:val="32"/>
          <w:szCs w:val="32"/>
          <w:lang w:eastAsia="zh-CN"/>
        </w:rPr>
        <w:t>为进一步提高学校管理水平，规范经济活动，加强廉政风险防控机制建设，根据</w:t>
      </w:r>
      <w:r>
        <w:rPr>
          <w:rFonts w:hint="eastAsia" w:ascii="仿宋" w:hAnsi="仿宋" w:eastAsia="仿宋" w:cs="仿宋"/>
          <w:sz w:val="32"/>
          <w:szCs w:val="32"/>
          <w:lang w:val="en-US" w:eastAsia="zh-CN"/>
        </w:rPr>
        <w:t>上级</w:t>
      </w:r>
      <w:r>
        <w:rPr>
          <w:rFonts w:hint="eastAsia" w:ascii="仿宋" w:hAnsi="仿宋" w:eastAsia="仿宋" w:cs="仿宋"/>
          <w:sz w:val="32"/>
          <w:szCs w:val="32"/>
          <w:lang w:eastAsia="zh-CN"/>
        </w:rPr>
        <w:t>文件精神，结合学校实际，</w:t>
      </w:r>
      <w:r>
        <w:rPr>
          <w:rFonts w:hint="eastAsia" w:ascii="仿宋" w:hAnsi="仿宋" w:eastAsia="仿宋" w:cs="仿宋"/>
          <w:sz w:val="32"/>
          <w:szCs w:val="32"/>
          <w:lang w:val="en-US" w:eastAsia="zh-CN"/>
        </w:rPr>
        <w:t>特对</w:t>
      </w:r>
      <w:r>
        <w:rPr>
          <w:rFonts w:hint="eastAsia" w:ascii="仿宋_GB2312" w:hAnsi="仿宋_GB2312" w:eastAsia="仿宋_GB2312" w:cs="仿宋_GB2312"/>
          <w:i w:val="0"/>
          <w:iCs w:val="0"/>
          <w:caps w:val="0"/>
          <w:color w:val="auto"/>
          <w:spacing w:val="0"/>
          <w:sz w:val="32"/>
          <w:szCs w:val="32"/>
          <w:shd w:val="clear" w:color="auto" w:fill="FFFFFF"/>
          <w:lang w:val="en-US" w:eastAsia="zh-CN"/>
        </w:rPr>
        <w:t>《河北建筑工程学院内部控制制度（试行）》进行修订</w:t>
      </w:r>
      <w:r>
        <w:rPr>
          <w:rFonts w:hint="eastAsia" w:ascii="仿宋" w:hAnsi="仿宋" w:eastAsia="仿宋" w:cs="仿宋"/>
          <w:sz w:val="32"/>
          <w:szCs w:val="32"/>
          <w:lang w:eastAsia="zh-CN"/>
        </w:rPr>
        <w:t>，</w:t>
      </w:r>
      <w:r>
        <w:rPr>
          <w:rFonts w:hint="eastAsia" w:ascii="仿宋" w:hAnsi="仿宋" w:eastAsia="仿宋" w:cs="仿宋"/>
          <w:sz w:val="32"/>
          <w:szCs w:val="32"/>
          <w:lang w:val="en-US" w:eastAsia="zh-CN"/>
        </w:rPr>
        <w:t>现印发给你们，请遵照执行。</w:t>
      </w:r>
    </w:p>
    <w:p w14:paraId="70B9AA2E">
      <w:pPr>
        <w:keepNext w:val="0"/>
        <w:keepLines w:val="0"/>
        <w:pageBreakBefore w:val="0"/>
        <w:widowControl w:val="0"/>
        <w:kinsoku/>
        <w:wordWrap/>
        <w:overflowPunct/>
        <w:topLinePunct w:val="0"/>
        <w:autoSpaceDE/>
        <w:autoSpaceDN/>
        <w:bidi w:val="0"/>
        <w:adjustRightInd/>
        <w:snapToGrid/>
        <w:spacing w:before="313" w:beforeLines="100" w:after="313" w:afterLines="100" w:line="560" w:lineRule="exact"/>
        <w:ind w:firstLine="640" w:firstLineChars="200"/>
        <w:jc w:val="left"/>
        <w:textAlignment w:val="auto"/>
        <w:rPr>
          <w:rFonts w:hint="eastAsia" w:ascii="仿宋" w:hAnsi="仿宋" w:eastAsia="仿宋" w:cs="仿宋"/>
          <w:sz w:val="32"/>
          <w:szCs w:val="32"/>
        </w:rPr>
      </w:pPr>
      <w:r>
        <w:rPr>
          <w:rFonts w:hint="eastAsia" w:ascii="仿宋_GB2312" w:hAnsi="仿宋" w:eastAsia="仿宋_GB2312" w:cs="仿宋"/>
          <w:sz w:val="32"/>
          <w:szCs w:val="32"/>
          <w:lang w:val="en-US" w:eastAsia="zh-CN"/>
        </w:rPr>
        <w:t>附件：河北建筑工程学院内部控制建设实施管理办法</w:t>
      </w:r>
    </w:p>
    <w:p w14:paraId="16675191">
      <w:pPr>
        <w:keepNext w:val="0"/>
        <w:keepLines w:val="0"/>
        <w:pageBreakBefore w:val="0"/>
        <w:widowControl w:val="0"/>
        <w:kinsoku/>
        <w:wordWrap w:val="0"/>
        <w:overflowPunct/>
        <w:topLinePunct w:val="0"/>
        <w:autoSpaceDE/>
        <w:autoSpaceDN/>
        <w:bidi w:val="0"/>
        <w:adjustRightInd/>
        <w:snapToGrid/>
        <w:spacing w:before="625" w:beforeLines="200" w:after="625" w:afterLines="200" w:line="560" w:lineRule="exact"/>
        <w:jc w:val="right"/>
        <w:textAlignment w:val="auto"/>
        <w:rPr>
          <w:rFonts w:hint="default" w:ascii="仿宋" w:hAnsi="仿宋" w:eastAsia="仿宋" w:cs="仿宋"/>
          <w:sz w:val="32"/>
          <w:szCs w:val="32"/>
          <w:lang w:val="en-US" w:eastAsia="zh-CN"/>
        </w:rPr>
      </w:pPr>
      <w:r>
        <w:rPr>
          <w:rFonts w:hint="eastAsia" w:ascii="仿宋" w:hAnsi="仿宋" w:eastAsia="仿宋" w:cs="仿宋"/>
          <w:sz w:val="32"/>
          <w:szCs w:val="32"/>
          <w:lang w:val="en-US" w:eastAsia="zh-CN"/>
        </w:rPr>
        <w:t xml:space="preserve">2025年9月2日  </w:t>
      </w:r>
    </w:p>
    <w:p w14:paraId="1307B5CB">
      <w:pPr>
        <w:pBdr>
          <w:top w:val="single" w:color="auto" w:sz="4" w:space="1"/>
          <w:bottom w:val="single" w:color="auto" w:sz="4" w:space="1"/>
        </w:pBdr>
        <w:spacing w:line="400" w:lineRule="exact"/>
        <w:ind w:firstLine="140" w:firstLineChars="50"/>
        <w:rPr>
          <w:rFonts w:hint="eastAsia"/>
          <w:kern w:val="2"/>
          <w:sz w:val="21"/>
          <w:szCs w:val="24"/>
          <w:lang w:val="en-US" w:eastAsia="zh-CN" w:bidi="ar-SA"/>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202</w:t>
      </w:r>
      <w:r>
        <w:rPr>
          <w:rFonts w:hint="eastAsia" w:ascii="仿宋" w:hAnsi="仿宋" w:eastAsia="仿宋" w:cs="仿宋"/>
          <w:sz w:val="28"/>
          <w:szCs w:val="28"/>
          <w:lang w:val="en-US" w:eastAsia="zh-CN"/>
        </w:rPr>
        <w:t>5</w:t>
      </w:r>
      <w:r>
        <w:rPr>
          <w:rFonts w:hint="eastAsia" w:ascii="仿宋" w:hAnsi="仿宋" w:eastAsia="仿宋" w:cs="仿宋"/>
          <w:sz w:val="28"/>
          <w:szCs w:val="28"/>
        </w:rPr>
        <w:t>年</w:t>
      </w:r>
      <w:r>
        <w:rPr>
          <w:rFonts w:hint="eastAsia" w:ascii="仿宋" w:hAnsi="仿宋" w:eastAsia="仿宋" w:cs="仿宋"/>
          <w:sz w:val="28"/>
          <w:szCs w:val="28"/>
          <w:lang w:val="en-US" w:eastAsia="zh-CN"/>
        </w:rPr>
        <w:t>9</w:t>
      </w:r>
      <w:r>
        <w:rPr>
          <w:rFonts w:hint="eastAsia" w:ascii="仿宋" w:hAnsi="仿宋" w:eastAsia="仿宋" w:cs="仿宋"/>
          <w:sz w:val="28"/>
          <w:szCs w:val="28"/>
        </w:rPr>
        <w:t>月</w:t>
      </w:r>
      <w:r>
        <w:rPr>
          <w:rFonts w:hint="eastAsia" w:ascii="仿宋" w:hAnsi="仿宋" w:eastAsia="仿宋" w:cs="仿宋"/>
          <w:sz w:val="28"/>
          <w:szCs w:val="28"/>
          <w:lang w:val="en-US" w:eastAsia="zh-CN"/>
        </w:rPr>
        <w:t>2</w:t>
      </w:r>
      <w:r>
        <w:rPr>
          <w:rFonts w:hint="eastAsia" w:ascii="仿宋" w:hAnsi="仿宋" w:eastAsia="仿宋" w:cs="仿宋"/>
          <w:sz w:val="28"/>
          <w:szCs w:val="28"/>
        </w:rPr>
        <w:t>日印发</w:t>
      </w:r>
    </w:p>
    <w:p w14:paraId="67DBE23A">
      <w:pPr>
        <w:keepNext w:val="0"/>
        <w:keepLines w:val="0"/>
        <w:pageBreakBefore w:val="0"/>
        <w:widowControl w:val="0"/>
        <w:kinsoku/>
        <w:wordWrap/>
        <w:overflowPunct/>
        <w:topLinePunct w:val="0"/>
        <w:autoSpaceDE/>
        <w:autoSpaceDN/>
        <w:bidi w:val="0"/>
        <w:adjustRightInd/>
        <w:snapToGrid/>
        <w:jc w:val="left"/>
        <w:textAlignment w:val="auto"/>
        <w:rPr>
          <w:rFonts w:hint="eastAsia" w:ascii="宋体" w:hAnsi="宋体" w:eastAsia="宋体" w:cs="宋体"/>
          <w:b/>
          <w:sz w:val="36"/>
          <w:szCs w:val="36"/>
          <w:lang w:val="en-US" w:eastAsia="zh-CN"/>
        </w:rPr>
      </w:pPr>
      <w:r>
        <w:rPr>
          <w:rFonts w:hint="eastAsia" w:ascii="黑体" w:hAnsi="黑体" w:eastAsia="黑体" w:cs="黑体"/>
          <w:sz w:val="32"/>
          <w:szCs w:val="32"/>
          <w:lang w:val="en-US" w:eastAsia="zh-CN"/>
        </w:rPr>
        <w:t>附件：</w:t>
      </w:r>
    </w:p>
    <w:p w14:paraId="3439D570">
      <w:pPr>
        <w:jc w:val="center"/>
        <w:rPr>
          <w:rFonts w:hint="eastAsia" w:ascii="宋体" w:hAnsi="宋体" w:eastAsia="宋体" w:cs="宋体"/>
          <w:b/>
          <w:sz w:val="44"/>
          <w:szCs w:val="44"/>
          <w:lang w:val="en-US" w:eastAsia="zh-CN"/>
        </w:rPr>
      </w:pPr>
    </w:p>
    <w:p w14:paraId="20F3D694">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河北建筑工程学院</w:t>
      </w:r>
    </w:p>
    <w:p w14:paraId="0461E240">
      <w:pPr>
        <w:jc w:val="center"/>
        <w:rPr>
          <w:rFonts w:hint="eastAsia" w:ascii="宋体" w:hAnsi="宋体" w:eastAsia="宋体" w:cs="宋体"/>
          <w:b/>
          <w:sz w:val="44"/>
          <w:szCs w:val="44"/>
          <w:lang w:val="en-US" w:eastAsia="zh-CN"/>
        </w:rPr>
      </w:pPr>
      <w:r>
        <w:rPr>
          <w:rFonts w:hint="eastAsia" w:ascii="宋体" w:hAnsi="宋体" w:eastAsia="宋体" w:cs="宋体"/>
          <w:b/>
          <w:sz w:val="44"/>
          <w:szCs w:val="44"/>
          <w:lang w:val="en-US" w:eastAsia="zh-CN"/>
        </w:rPr>
        <w:t>内部控制建设实施管理办法</w:t>
      </w:r>
      <w:r>
        <w:rPr>
          <w:rFonts w:hint="eastAsia" w:ascii="宋体" w:hAnsi="宋体"/>
          <w:b/>
          <w:bCs/>
          <w:spacing w:val="0"/>
          <w:sz w:val="44"/>
          <w:szCs w:val="44"/>
          <w:lang w:val="en-US" w:eastAsia="zh-CN"/>
        </w:rPr>
        <w:t>（修订）</w:t>
      </w:r>
    </w:p>
    <w:p w14:paraId="521CD478">
      <w:pPr>
        <w:keepNext w:val="0"/>
        <w:keepLines w:val="0"/>
        <w:pageBreakBefore w:val="0"/>
        <w:kinsoku/>
        <w:wordWrap/>
        <w:overflowPunct/>
        <w:topLinePunct w:val="0"/>
        <w:autoSpaceDE/>
        <w:autoSpaceDN/>
        <w:bidi w:val="0"/>
        <w:spacing w:line="560" w:lineRule="exact"/>
        <w:ind w:firstLine="883" w:firstLineChars="200"/>
        <w:jc w:val="center"/>
        <w:textAlignment w:val="auto"/>
        <w:rPr>
          <w:rFonts w:hint="eastAsia" w:ascii="宋体" w:hAnsi="宋体" w:eastAsia="宋体" w:cs="宋体"/>
          <w:b/>
          <w:sz w:val="44"/>
          <w:szCs w:val="44"/>
          <w:lang w:val="en-US" w:eastAsia="zh-CN"/>
        </w:rPr>
      </w:pPr>
    </w:p>
    <w:p w14:paraId="1C71ECA8">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第一章</w:t>
      </w:r>
      <w:r>
        <w:rPr>
          <w:rFonts w:hint="eastAsia" w:ascii="黑体" w:hAnsi="黑体" w:eastAsia="黑体" w:cs="黑体"/>
          <w:b w:val="0"/>
          <w:bCs w:val="0"/>
          <w:i w:val="0"/>
          <w:iCs w:val="0"/>
          <w:caps w:val="0"/>
          <w:color w:val="auto"/>
          <w:spacing w:val="0"/>
          <w:sz w:val="32"/>
          <w:szCs w:val="32"/>
          <w:shd w:val="clear" w:color="auto" w:fill="FFFFFF"/>
          <w:lang w:eastAsia="zh-CN"/>
        </w:rPr>
        <w:t xml:space="preserve"> </w:t>
      </w:r>
      <w:r>
        <w:rPr>
          <w:rFonts w:hint="eastAsia" w:ascii="黑体" w:hAnsi="黑体" w:eastAsia="黑体" w:cs="黑体"/>
          <w:b w:val="0"/>
          <w:bCs w:val="0"/>
          <w:i w:val="0"/>
          <w:iCs w:val="0"/>
          <w:caps w:val="0"/>
          <w:color w:val="auto"/>
          <w:spacing w:val="0"/>
          <w:sz w:val="32"/>
          <w:szCs w:val="32"/>
          <w:shd w:val="clear" w:color="auto" w:fill="FFFFFF"/>
        </w:rPr>
        <w:t xml:space="preserve"> 总则</w:t>
      </w:r>
    </w:p>
    <w:p w14:paraId="2EFB5174">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rPr>
      </w:pPr>
      <w:r>
        <w:rPr>
          <w:rFonts w:hint="eastAsia" w:ascii="仿宋_GB2312" w:hAnsi="仿宋_GB2312" w:eastAsia="仿宋_GB2312" w:cs="仿宋_GB2312"/>
          <w:b/>
          <w:bCs/>
          <w:i w:val="0"/>
          <w:iCs w:val="0"/>
          <w:caps w:val="0"/>
          <w:color w:val="555555"/>
          <w:spacing w:val="0"/>
          <w:sz w:val="32"/>
          <w:szCs w:val="32"/>
          <w:shd w:val="clear" w:color="auto" w:fill="FFFFFF"/>
        </w:rPr>
        <w:t>第一条</w:t>
      </w:r>
      <w:r>
        <w:rPr>
          <w:rFonts w:hint="eastAsia" w:ascii="仿宋_GB2312" w:hAnsi="仿宋_GB2312" w:eastAsia="仿宋_GB2312" w:cs="仿宋_GB2312"/>
          <w:i w:val="0"/>
          <w:iCs w:val="0"/>
          <w:caps w:val="0"/>
          <w:color w:val="555555"/>
          <w:spacing w:val="0"/>
          <w:sz w:val="32"/>
          <w:szCs w:val="32"/>
          <w:shd w:val="clear" w:color="auto" w:fill="FFFFFF"/>
          <w:lang w:eastAsia="zh-CN"/>
        </w:rPr>
        <w:t xml:space="preserve"> </w:t>
      </w:r>
      <w:r>
        <w:rPr>
          <w:rFonts w:hint="eastAsia" w:ascii="仿宋_GB2312" w:hAnsi="仿宋_GB2312" w:eastAsia="仿宋_GB2312" w:cs="仿宋_GB2312"/>
          <w:i w:val="0"/>
          <w:iCs w:val="0"/>
          <w:caps w:val="0"/>
          <w:color w:val="auto"/>
          <w:spacing w:val="0"/>
          <w:sz w:val="32"/>
          <w:szCs w:val="32"/>
          <w:shd w:val="clear" w:color="auto" w:fill="FFFFFF"/>
        </w:rPr>
        <w:t xml:space="preserve"> 为进一步提高学校管理水平，规范经济活动，加强廉政风险防控机制建设，</w:t>
      </w:r>
      <w:r>
        <w:rPr>
          <w:rFonts w:hint="eastAsia" w:ascii="仿宋_GB2312" w:hAnsi="仿宋_GB2312" w:eastAsia="仿宋_GB2312" w:cs="仿宋_GB2312"/>
          <w:i w:val="0"/>
          <w:iCs w:val="0"/>
          <w:caps w:val="0"/>
          <w:color w:val="000000"/>
          <w:spacing w:val="0"/>
          <w:sz w:val="32"/>
          <w:szCs w:val="32"/>
          <w:shd w:val="clear" w:color="auto" w:fill="FFFFFF"/>
        </w:rPr>
        <w:t>根据财政部《行政事业单位内部控制规范（试行）</w:t>
      </w:r>
      <w:r>
        <w:rPr>
          <w:rFonts w:hint="eastAsia" w:ascii="仿宋_GB2312" w:hAnsi="仿宋_GB2312" w:eastAsia="仿宋_GB2312" w:cs="仿宋_GB2312"/>
          <w:i w:val="0"/>
          <w:iCs w:val="0"/>
          <w:caps w:val="0"/>
          <w:color w:val="auto"/>
          <w:spacing w:val="0"/>
          <w:sz w:val="32"/>
          <w:szCs w:val="32"/>
          <w:shd w:val="clear" w:color="auto" w:fill="FFFFFF"/>
        </w:rPr>
        <w:t>》（财会〔2012〕21号）</w:t>
      </w:r>
      <w:r>
        <w:rPr>
          <w:rFonts w:hint="eastAsia" w:ascii="仿宋_GB2312" w:hAnsi="仿宋_GB2312" w:eastAsia="仿宋_GB2312" w:cs="仿宋_GB2312"/>
          <w:i w:val="0"/>
          <w:iCs w:val="0"/>
          <w:caps w:val="0"/>
          <w:color w:val="auto"/>
          <w:spacing w:val="0"/>
          <w:sz w:val="32"/>
          <w:szCs w:val="32"/>
          <w:shd w:val="clear" w:color="auto" w:fill="FFFFFF"/>
          <w:lang w:eastAsia="zh-CN"/>
        </w:rPr>
        <w:t>、</w:t>
      </w:r>
      <w:r>
        <w:rPr>
          <w:rFonts w:hint="eastAsia" w:ascii="仿宋_GB2312" w:hAnsi="仿宋_GB2312" w:eastAsia="仿宋_GB2312" w:cs="仿宋_GB2312"/>
          <w:i w:val="0"/>
          <w:iCs w:val="0"/>
          <w:caps w:val="0"/>
          <w:color w:val="auto"/>
          <w:spacing w:val="0"/>
          <w:sz w:val="32"/>
          <w:szCs w:val="32"/>
          <w:shd w:val="clear" w:color="auto" w:fill="FFFFFF"/>
        </w:rPr>
        <w:t>《财政部关于全面推进行政事业单位内部控制建设的指导意见》（财会〔2015〕24号）</w:t>
      </w:r>
      <w:r>
        <w:rPr>
          <w:rFonts w:hint="eastAsia" w:ascii="仿宋_GB2312" w:hAnsi="仿宋_GB2312" w:eastAsia="仿宋_GB2312" w:cs="仿宋_GB2312"/>
          <w:i w:val="0"/>
          <w:iCs w:val="0"/>
          <w:caps w:val="0"/>
          <w:color w:val="auto"/>
          <w:spacing w:val="0"/>
          <w:sz w:val="32"/>
          <w:szCs w:val="32"/>
          <w:shd w:val="clear" w:color="auto" w:fill="FFFFFF"/>
          <w:lang w:eastAsia="zh-CN"/>
        </w:rPr>
        <w:t>、</w:t>
      </w:r>
      <w:r>
        <w:rPr>
          <w:rFonts w:hint="eastAsia" w:ascii="仿宋_GB2312" w:hAnsi="仿宋_GB2312" w:eastAsia="仿宋_GB2312" w:cs="仿宋_GB2312"/>
          <w:i w:val="0"/>
          <w:iCs w:val="0"/>
          <w:caps w:val="0"/>
          <w:color w:val="auto"/>
          <w:spacing w:val="0"/>
          <w:sz w:val="32"/>
          <w:szCs w:val="32"/>
          <w:shd w:val="clear" w:color="auto" w:fill="FFFFFF"/>
        </w:rPr>
        <w:t>《</w:t>
      </w:r>
      <w:r>
        <w:rPr>
          <w:rFonts w:hint="eastAsia" w:ascii="仿宋_GB2312" w:hAnsi="仿宋_GB2312" w:eastAsia="仿宋_GB2312" w:cs="仿宋_GB2312"/>
          <w:i w:val="0"/>
          <w:iCs w:val="0"/>
          <w:caps w:val="0"/>
          <w:color w:val="auto"/>
          <w:spacing w:val="0"/>
          <w:sz w:val="32"/>
          <w:szCs w:val="32"/>
          <w:shd w:val="clear" w:color="auto" w:fill="FFFFFF"/>
          <w:lang w:val="en-US" w:eastAsia="zh-CN"/>
        </w:rPr>
        <w:t>关于印发〈</w:t>
      </w:r>
      <w:r>
        <w:rPr>
          <w:rFonts w:hint="eastAsia" w:ascii="仿宋_GB2312" w:hAnsi="仿宋_GB2312" w:eastAsia="仿宋_GB2312" w:cs="仿宋_GB2312"/>
          <w:i w:val="0"/>
          <w:iCs w:val="0"/>
          <w:caps w:val="0"/>
          <w:color w:val="auto"/>
          <w:spacing w:val="0"/>
          <w:sz w:val="32"/>
          <w:szCs w:val="32"/>
          <w:shd w:val="clear" w:color="auto" w:fill="FFFFFF"/>
        </w:rPr>
        <w:t>关于进一步加强高等学校内部控制建设的指导意见</w:t>
      </w:r>
      <w:r>
        <w:rPr>
          <w:rFonts w:hint="eastAsia" w:ascii="仿宋_GB2312" w:hAnsi="仿宋_GB2312" w:eastAsia="仿宋_GB2312" w:cs="仿宋_GB2312"/>
          <w:i w:val="0"/>
          <w:iCs w:val="0"/>
          <w:caps w:val="0"/>
          <w:color w:val="auto"/>
          <w:spacing w:val="0"/>
          <w:sz w:val="32"/>
          <w:szCs w:val="32"/>
          <w:shd w:val="clear" w:color="auto" w:fill="FFFFFF"/>
          <w:lang w:eastAsia="zh-CN"/>
        </w:rPr>
        <w:t>〉的通知》（</w:t>
      </w:r>
      <w:r>
        <w:rPr>
          <w:rFonts w:hint="eastAsia" w:ascii="仿宋_GB2312" w:hAnsi="仿宋_GB2312" w:eastAsia="仿宋_GB2312" w:cs="仿宋_GB2312"/>
          <w:i w:val="0"/>
          <w:iCs w:val="0"/>
          <w:caps w:val="0"/>
          <w:color w:val="auto"/>
          <w:spacing w:val="0"/>
          <w:sz w:val="32"/>
          <w:szCs w:val="32"/>
          <w:shd w:val="clear" w:color="auto" w:fill="FFFFFF"/>
        </w:rPr>
        <w:t>财会〔2024〕16号</w:t>
      </w:r>
      <w:r>
        <w:rPr>
          <w:rFonts w:hint="eastAsia" w:ascii="仿宋_GB2312" w:hAnsi="仿宋_GB2312" w:eastAsia="仿宋_GB2312" w:cs="仿宋_GB2312"/>
          <w:i w:val="0"/>
          <w:iCs w:val="0"/>
          <w:caps w:val="0"/>
          <w:color w:val="auto"/>
          <w:spacing w:val="0"/>
          <w:sz w:val="32"/>
          <w:szCs w:val="32"/>
          <w:shd w:val="clear" w:color="auto" w:fill="FFFFFF"/>
          <w:lang w:eastAsia="zh-CN"/>
        </w:rPr>
        <w:t>）</w:t>
      </w:r>
      <w:r>
        <w:rPr>
          <w:rFonts w:hint="eastAsia" w:ascii="仿宋_GB2312" w:hAnsi="仿宋_GB2312" w:eastAsia="仿宋_GB2312" w:cs="仿宋_GB2312"/>
          <w:i w:val="0"/>
          <w:iCs w:val="0"/>
          <w:caps w:val="0"/>
          <w:color w:val="auto"/>
          <w:spacing w:val="0"/>
          <w:sz w:val="32"/>
          <w:szCs w:val="32"/>
          <w:shd w:val="clear" w:color="auto" w:fill="FFFFFF"/>
        </w:rPr>
        <w:t>等相关法律法规，结合学校实际，制定本办法。</w:t>
      </w:r>
    </w:p>
    <w:p w14:paraId="01E50FA6">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rPr>
      </w:pPr>
      <w:r>
        <w:rPr>
          <w:rFonts w:hint="eastAsia" w:ascii="仿宋_GB2312" w:hAnsi="仿宋_GB2312" w:eastAsia="仿宋_GB2312" w:cs="仿宋_GB2312"/>
          <w:b/>
          <w:bCs/>
          <w:i w:val="0"/>
          <w:iCs w:val="0"/>
          <w:caps w:val="0"/>
          <w:color w:val="555555"/>
          <w:spacing w:val="0"/>
          <w:sz w:val="32"/>
          <w:szCs w:val="32"/>
          <w:shd w:val="clear" w:color="auto" w:fill="FFFFFF"/>
        </w:rPr>
        <w:t>第二条</w:t>
      </w:r>
      <w:r>
        <w:rPr>
          <w:rFonts w:hint="eastAsia" w:ascii="仿宋_GB2312" w:hAnsi="仿宋_GB2312" w:eastAsia="仿宋_GB2312" w:cs="仿宋_GB2312"/>
          <w:i w:val="0"/>
          <w:iCs w:val="0"/>
          <w:caps w:val="0"/>
          <w:color w:val="555555"/>
          <w:spacing w:val="0"/>
          <w:sz w:val="32"/>
          <w:szCs w:val="32"/>
          <w:shd w:val="clear" w:color="auto" w:fill="FFFFFF"/>
          <w:lang w:eastAsia="zh-CN"/>
        </w:rPr>
        <w:t xml:space="preserve"> </w:t>
      </w:r>
      <w:r>
        <w:rPr>
          <w:rFonts w:hint="eastAsia" w:ascii="仿宋_GB2312" w:hAnsi="仿宋_GB2312" w:eastAsia="仿宋_GB2312" w:cs="仿宋_GB2312"/>
          <w:i w:val="0"/>
          <w:iCs w:val="0"/>
          <w:caps w:val="0"/>
          <w:color w:val="555555"/>
          <w:spacing w:val="0"/>
          <w:sz w:val="32"/>
          <w:szCs w:val="32"/>
          <w:shd w:val="clear" w:color="auto" w:fill="FFFFFF"/>
        </w:rPr>
        <w:t xml:space="preserve"> </w:t>
      </w:r>
      <w:r>
        <w:rPr>
          <w:rFonts w:hint="eastAsia" w:ascii="仿宋_GB2312" w:hAnsi="仿宋_GB2312" w:eastAsia="仿宋_GB2312" w:cs="仿宋_GB2312"/>
          <w:i w:val="0"/>
          <w:iCs w:val="0"/>
          <w:caps w:val="0"/>
          <w:color w:val="auto"/>
          <w:spacing w:val="0"/>
          <w:sz w:val="32"/>
          <w:szCs w:val="32"/>
          <w:shd w:val="clear" w:color="auto" w:fill="FFFFFF"/>
        </w:rPr>
        <w:t>本办法适用于学校及各二级单位的内部控制活动。</w:t>
      </w:r>
    </w:p>
    <w:p w14:paraId="40A96A1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rPr>
      </w:pPr>
      <w:r>
        <w:rPr>
          <w:rFonts w:hint="eastAsia" w:ascii="仿宋_GB2312" w:hAnsi="仿宋_GB2312" w:eastAsia="仿宋_GB2312" w:cs="仿宋_GB2312"/>
          <w:b/>
          <w:bCs/>
          <w:i w:val="0"/>
          <w:iCs w:val="0"/>
          <w:caps w:val="0"/>
          <w:color w:val="555555"/>
          <w:spacing w:val="0"/>
          <w:sz w:val="32"/>
          <w:szCs w:val="32"/>
          <w:shd w:val="clear" w:color="auto" w:fill="FFFFFF"/>
        </w:rPr>
        <w:t>第三条</w:t>
      </w:r>
      <w:r>
        <w:rPr>
          <w:rFonts w:hint="eastAsia" w:ascii="仿宋_GB2312" w:hAnsi="仿宋_GB2312" w:eastAsia="仿宋_GB2312" w:cs="仿宋_GB2312"/>
          <w:i w:val="0"/>
          <w:iCs w:val="0"/>
          <w:caps w:val="0"/>
          <w:color w:val="555555"/>
          <w:spacing w:val="0"/>
          <w:sz w:val="32"/>
          <w:szCs w:val="32"/>
          <w:shd w:val="clear" w:color="auto" w:fill="FFFFFF"/>
          <w:lang w:eastAsia="zh-CN"/>
        </w:rPr>
        <w:t xml:space="preserve"> </w:t>
      </w:r>
      <w:r>
        <w:rPr>
          <w:rFonts w:hint="eastAsia" w:ascii="仿宋_GB2312" w:hAnsi="仿宋_GB2312" w:eastAsia="仿宋_GB2312" w:cs="仿宋_GB2312"/>
          <w:i w:val="0"/>
          <w:iCs w:val="0"/>
          <w:caps w:val="0"/>
          <w:color w:val="555555"/>
          <w:spacing w:val="0"/>
          <w:sz w:val="32"/>
          <w:szCs w:val="32"/>
          <w:shd w:val="clear" w:color="auto" w:fill="FFFFFF"/>
        </w:rPr>
        <w:t xml:space="preserve"> </w:t>
      </w:r>
      <w:r>
        <w:rPr>
          <w:rFonts w:hint="eastAsia" w:ascii="仿宋_GB2312" w:hAnsi="仿宋_GB2312" w:eastAsia="仿宋_GB2312" w:cs="仿宋_GB2312"/>
          <w:i w:val="0"/>
          <w:iCs w:val="0"/>
          <w:caps w:val="0"/>
          <w:color w:val="auto"/>
          <w:spacing w:val="0"/>
          <w:sz w:val="32"/>
          <w:szCs w:val="32"/>
          <w:shd w:val="clear" w:color="auto" w:fill="FFFFFF"/>
        </w:rPr>
        <w:t>本办法所称内部控制是指学校为实现控制目标，通过制定制度、实施措施和执行程序，对经济活动风险进行防范和管控。</w:t>
      </w:r>
    </w:p>
    <w:p w14:paraId="5D0C85D3">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rPr>
      </w:pPr>
      <w:r>
        <w:rPr>
          <w:rFonts w:hint="eastAsia" w:ascii="仿宋_GB2312" w:hAnsi="仿宋_GB2312" w:eastAsia="仿宋_GB2312" w:cs="仿宋_GB2312"/>
          <w:b/>
          <w:bCs/>
          <w:i w:val="0"/>
          <w:iCs w:val="0"/>
          <w:caps w:val="0"/>
          <w:color w:val="555555"/>
          <w:spacing w:val="0"/>
          <w:sz w:val="32"/>
          <w:szCs w:val="32"/>
          <w:shd w:val="clear" w:color="auto" w:fill="FFFFFF"/>
        </w:rPr>
        <w:t>第四条</w:t>
      </w:r>
      <w:r>
        <w:rPr>
          <w:rFonts w:hint="eastAsia" w:ascii="仿宋_GB2312" w:hAnsi="仿宋_GB2312" w:eastAsia="仿宋_GB2312" w:cs="仿宋_GB2312"/>
          <w:i w:val="0"/>
          <w:iCs w:val="0"/>
          <w:caps w:val="0"/>
          <w:color w:val="555555"/>
          <w:spacing w:val="0"/>
          <w:sz w:val="32"/>
          <w:szCs w:val="32"/>
          <w:shd w:val="clear" w:color="auto" w:fill="FFFFFF"/>
          <w:lang w:eastAsia="zh-CN"/>
        </w:rPr>
        <w:t xml:space="preserve"> </w:t>
      </w:r>
      <w:r>
        <w:rPr>
          <w:rFonts w:hint="eastAsia" w:ascii="仿宋_GB2312" w:hAnsi="仿宋_GB2312" w:eastAsia="仿宋_GB2312" w:cs="仿宋_GB2312"/>
          <w:i w:val="0"/>
          <w:iCs w:val="0"/>
          <w:caps w:val="0"/>
          <w:color w:val="555555"/>
          <w:spacing w:val="0"/>
          <w:sz w:val="32"/>
          <w:szCs w:val="32"/>
          <w:shd w:val="clear" w:color="auto" w:fill="FFFFFF"/>
        </w:rPr>
        <w:t xml:space="preserve"> </w:t>
      </w:r>
      <w:r>
        <w:rPr>
          <w:rFonts w:hint="eastAsia" w:ascii="仿宋_GB2312" w:hAnsi="仿宋_GB2312" w:eastAsia="仿宋_GB2312" w:cs="仿宋_GB2312"/>
          <w:i w:val="0"/>
          <w:iCs w:val="0"/>
          <w:caps w:val="0"/>
          <w:color w:val="auto"/>
          <w:spacing w:val="0"/>
          <w:sz w:val="32"/>
          <w:szCs w:val="32"/>
          <w:shd w:val="clear" w:color="auto" w:fill="FFFFFF"/>
        </w:rPr>
        <w:t>学校内部控制的目标主要包括：建立适合学校实际情况的内部控制体系，</w:t>
      </w:r>
      <w:r>
        <w:rPr>
          <w:rFonts w:hint="eastAsia" w:ascii="仿宋_GB2312" w:hAnsi="仿宋_GB2312" w:eastAsia="仿宋_GB2312" w:cs="仿宋_GB2312"/>
          <w:i w:val="0"/>
          <w:iCs w:val="0"/>
          <w:caps w:val="0"/>
          <w:color w:val="auto"/>
          <w:spacing w:val="0"/>
          <w:sz w:val="32"/>
          <w:szCs w:val="32"/>
          <w:highlight w:val="none"/>
          <w:shd w:val="clear" w:color="auto" w:fill="FFFFFF"/>
        </w:rPr>
        <w:t>合理</w:t>
      </w:r>
      <w:r>
        <w:rPr>
          <w:rFonts w:hint="eastAsia" w:ascii="仿宋_GB2312" w:hAnsi="仿宋_GB2312" w:eastAsia="仿宋_GB2312" w:cs="仿宋_GB2312"/>
          <w:i w:val="0"/>
          <w:iCs w:val="0"/>
          <w:caps w:val="0"/>
          <w:color w:val="auto"/>
          <w:spacing w:val="0"/>
          <w:sz w:val="32"/>
          <w:szCs w:val="32"/>
          <w:shd w:val="clear" w:color="auto" w:fill="FFFFFF"/>
        </w:rPr>
        <w:t>保证学校经济活动合法合规、资产安全和使用有效、财务信息真实完整，有效防范舞弊和预防腐败，提高资</w:t>
      </w:r>
      <w:r>
        <w:rPr>
          <w:rFonts w:hint="eastAsia" w:ascii="仿宋_GB2312" w:hAnsi="仿宋_GB2312" w:eastAsia="仿宋_GB2312" w:cs="仿宋_GB2312"/>
          <w:i w:val="0"/>
          <w:iCs w:val="0"/>
          <w:caps w:val="0"/>
          <w:color w:val="auto"/>
          <w:spacing w:val="0"/>
          <w:sz w:val="32"/>
          <w:szCs w:val="32"/>
          <w:shd w:val="clear" w:color="auto" w:fill="FFFFFF"/>
          <w:lang w:val="en-US" w:eastAsia="zh-CN"/>
        </w:rPr>
        <w:t>金</w:t>
      </w:r>
      <w:r>
        <w:rPr>
          <w:rFonts w:hint="eastAsia" w:ascii="仿宋_GB2312" w:hAnsi="仿宋_GB2312" w:eastAsia="仿宋_GB2312" w:cs="仿宋_GB2312"/>
          <w:i w:val="0"/>
          <w:iCs w:val="0"/>
          <w:caps w:val="0"/>
          <w:color w:val="auto"/>
          <w:spacing w:val="0"/>
          <w:sz w:val="32"/>
          <w:szCs w:val="32"/>
          <w:shd w:val="clear" w:color="auto" w:fill="FFFFFF"/>
        </w:rPr>
        <w:t>使用效益。</w:t>
      </w:r>
    </w:p>
    <w:p w14:paraId="1F7EE1B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rPr>
        <w:t>第五条</w:t>
      </w:r>
      <w:r>
        <w:rPr>
          <w:rFonts w:hint="eastAsia" w:ascii="仿宋_GB2312" w:hAnsi="仿宋_GB2312" w:eastAsia="仿宋_GB2312" w:cs="仿宋_GB2312"/>
          <w:i w:val="0"/>
          <w:iCs w:val="0"/>
          <w:caps w:val="0"/>
          <w:color w:val="auto"/>
          <w:spacing w:val="0"/>
          <w:sz w:val="32"/>
          <w:szCs w:val="32"/>
          <w:shd w:val="clear" w:color="auto" w:fill="FFFFFF"/>
          <w:lang w:eastAsia="zh-CN"/>
        </w:rPr>
        <w:t xml:space="preserve"> </w:t>
      </w:r>
      <w:r>
        <w:rPr>
          <w:rFonts w:hint="eastAsia" w:ascii="仿宋_GB2312" w:hAnsi="仿宋_GB2312" w:eastAsia="仿宋_GB2312" w:cs="仿宋_GB2312"/>
          <w:i w:val="0"/>
          <w:iCs w:val="0"/>
          <w:caps w:val="0"/>
          <w:color w:val="auto"/>
          <w:spacing w:val="0"/>
          <w:sz w:val="32"/>
          <w:szCs w:val="32"/>
          <w:shd w:val="clear" w:color="auto" w:fill="FFFFFF"/>
        </w:rPr>
        <w:t xml:space="preserve"> 学校</w:t>
      </w:r>
      <w:r>
        <w:rPr>
          <w:rFonts w:hint="eastAsia" w:ascii="仿宋_GB2312" w:hAnsi="仿宋_GB2312" w:eastAsia="仿宋_GB2312" w:cs="仿宋_GB2312"/>
          <w:i w:val="0"/>
          <w:iCs w:val="0"/>
          <w:caps w:val="0"/>
          <w:color w:val="auto"/>
          <w:spacing w:val="0"/>
          <w:sz w:val="32"/>
          <w:szCs w:val="32"/>
          <w:shd w:val="clear" w:color="auto" w:fill="FFFFFF"/>
          <w:lang w:val="en-US" w:eastAsia="zh-CN"/>
        </w:rPr>
        <w:t>建设和</w:t>
      </w:r>
      <w:r>
        <w:rPr>
          <w:rFonts w:hint="eastAsia" w:ascii="仿宋_GB2312" w:hAnsi="仿宋_GB2312" w:eastAsia="仿宋_GB2312" w:cs="仿宋_GB2312"/>
          <w:i w:val="0"/>
          <w:iCs w:val="0"/>
          <w:caps w:val="0"/>
          <w:color w:val="auto"/>
          <w:spacing w:val="0"/>
          <w:sz w:val="32"/>
          <w:szCs w:val="32"/>
          <w:shd w:val="clear" w:color="auto" w:fill="FFFFFF"/>
        </w:rPr>
        <w:t>实施内部控制</w:t>
      </w:r>
      <w:r>
        <w:rPr>
          <w:rFonts w:hint="eastAsia" w:ascii="仿宋_GB2312" w:hAnsi="仿宋_GB2312" w:eastAsia="仿宋_GB2312" w:cs="仿宋_GB2312"/>
          <w:i w:val="0"/>
          <w:iCs w:val="0"/>
          <w:caps w:val="0"/>
          <w:color w:val="auto"/>
          <w:spacing w:val="0"/>
          <w:sz w:val="32"/>
          <w:szCs w:val="32"/>
          <w:shd w:val="clear" w:color="auto" w:fill="FFFFFF"/>
          <w:lang w:eastAsia="zh-CN"/>
        </w:rPr>
        <w:t>，</w:t>
      </w:r>
      <w:r>
        <w:rPr>
          <w:rFonts w:hint="eastAsia" w:ascii="仿宋_GB2312" w:hAnsi="仿宋_GB2312" w:eastAsia="仿宋_GB2312" w:cs="仿宋_GB2312"/>
          <w:i w:val="0"/>
          <w:iCs w:val="0"/>
          <w:caps w:val="0"/>
          <w:color w:val="auto"/>
          <w:spacing w:val="0"/>
          <w:sz w:val="32"/>
          <w:szCs w:val="32"/>
          <w:shd w:val="clear" w:color="auto" w:fill="FFFFFF"/>
        </w:rPr>
        <w:t>应遵循</w:t>
      </w:r>
      <w:r>
        <w:rPr>
          <w:rFonts w:hint="eastAsia" w:ascii="仿宋_GB2312" w:hAnsi="仿宋_GB2312" w:eastAsia="仿宋_GB2312" w:cs="仿宋_GB2312"/>
          <w:i w:val="0"/>
          <w:iCs w:val="0"/>
          <w:caps w:val="0"/>
          <w:color w:val="auto"/>
          <w:spacing w:val="0"/>
          <w:sz w:val="32"/>
          <w:szCs w:val="32"/>
          <w:shd w:val="clear" w:color="auto" w:fill="FFFFFF"/>
          <w:lang w:val="en-US" w:eastAsia="zh-CN"/>
        </w:rPr>
        <w:t>以下</w:t>
      </w:r>
      <w:r>
        <w:rPr>
          <w:rFonts w:hint="eastAsia" w:ascii="仿宋_GB2312" w:hAnsi="仿宋_GB2312" w:eastAsia="仿宋_GB2312" w:cs="仿宋_GB2312"/>
          <w:i w:val="0"/>
          <w:iCs w:val="0"/>
          <w:caps w:val="0"/>
          <w:color w:val="auto"/>
          <w:spacing w:val="0"/>
          <w:sz w:val="32"/>
          <w:szCs w:val="32"/>
          <w:shd w:val="clear" w:color="auto" w:fill="FFFFFF"/>
        </w:rPr>
        <w:t>原则。</w:t>
      </w:r>
      <w:r>
        <w:rPr>
          <w:rFonts w:hint="eastAsia" w:ascii="仿宋_GB2312" w:hAnsi="仿宋_GB2312" w:eastAsia="仿宋_GB2312" w:cs="仿宋_GB2312"/>
          <w:i w:val="0"/>
          <w:iCs w:val="0"/>
          <w:caps w:val="0"/>
          <w:color w:val="auto"/>
          <w:spacing w:val="0"/>
          <w:sz w:val="32"/>
          <w:szCs w:val="32"/>
          <w:shd w:val="clear" w:color="auto" w:fill="FFFFFF"/>
          <w:lang w:val="en-US" w:eastAsia="zh-CN"/>
        </w:rPr>
        <w:t>　　</w:t>
      </w:r>
    </w:p>
    <w:p w14:paraId="138F9A24">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（一）全面性原则。内部控制应当贯穿学校经济活动的决策、执行和监督全过程，实现对经济活动的全面控制。</w:t>
      </w:r>
    </w:p>
    <w:p w14:paraId="597C2C48">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（二）重要性原则。在全面控制的基础上，内部控制应当关注学校重要经济活动和经济活动的重大风险。</w:t>
      </w:r>
    </w:p>
    <w:p w14:paraId="0DE22658">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（三）制衡性原则。内部控制应当在学校内部的部门管理、职责分工、业务流程等方面形成相互制约和相互监督。</w:t>
      </w:r>
    </w:p>
    <w:p w14:paraId="43777B0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（四）适应性原则。内部控制应当符合国家有关规定和学校的实际情况，并随着外部环境的变化、学校经济活动的调整和管理要求的提高，不断修订和完善。</w:t>
      </w:r>
    </w:p>
    <w:p w14:paraId="6AB9299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黑体" w:hAnsi="黑体" w:eastAsia="黑体" w:cs="黑体"/>
          <w:b w:val="0"/>
          <w:bCs w:val="0"/>
          <w:i w:val="0"/>
          <w:iCs w:val="0"/>
          <w:caps w:val="0"/>
          <w:color w:val="auto"/>
          <w:spacing w:val="0"/>
          <w:sz w:val="32"/>
          <w:szCs w:val="32"/>
          <w:shd w:val="clear" w:color="auto" w:fill="FFFFFF"/>
        </w:rPr>
      </w:pPr>
      <w:r>
        <w:rPr>
          <w:rFonts w:hint="eastAsia" w:ascii="黑体" w:hAnsi="黑体" w:eastAsia="黑体" w:cs="黑体"/>
          <w:b w:val="0"/>
          <w:bCs w:val="0"/>
          <w:i w:val="0"/>
          <w:iCs w:val="0"/>
          <w:caps w:val="0"/>
          <w:color w:val="auto"/>
          <w:spacing w:val="0"/>
          <w:sz w:val="32"/>
          <w:szCs w:val="32"/>
          <w:shd w:val="clear" w:color="auto" w:fill="FFFFFF"/>
        </w:rPr>
        <w:t>第二章 组织体系与职责</w:t>
      </w:r>
    </w:p>
    <w:p w14:paraId="56F8AACA">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第六条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党委在内部控制建设中具有领导作用，内部控制相关重要议题应提请党委决策审议。校长是内部控制建设和实施工作的首要责任人，学校领导班子其他成员是各自分管领域内部控制建设与实施的负责人。二级单位负责人对本单位内部控制的有效性负责。</w:t>
      </w:r>
    </w:p>
    <w:p w14:paraId="449AFB15">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第七条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内部控制建设工作小组是学校内部控制领导小组的下设机构，负责组织协调学校的内部控制建设实施工作，由相关建设部门负责人组成，财务处牵头，具体职责如下：</w:t>
      </w:r>
    </w:p>
    <w:p w14:paraId="142DCCDD">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（一）健全法人治理结构，落实经济责任制；</w:t>
      </w:r>
    </w:p>
    <w:p w14:paraId="1CFDBF9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二）组织各二级单位开展内部控制建设工作：具体包括梳理各类业务流程，明确业务环节，系统分析经济活动风险，确定风险点，选择风险应对策略，在此基础上根据国家有关规定建立健全各项内部管理制度，督促相关工作人员认真执行；</w:t>
      </w:r>
    </w:p>
    <w:p w14:paraId="44BFEA3A">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（三）协调解决内部控制建设中发现的问题，督促落实整改建议；</w:t>
      </w:r>
    </w:p>
    <w:p w14:paraId="7CCF657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（四）内部控制领导小组交办的其他相关工作。</w:t>
      </w:r>
    </w:p>
    <w:p w14:paraId="192BB0D5">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第八条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各二级单位是本单位内部控制建设和实施的责任主体，其主要职责如下：</w:t>
      </w:r>
    </w:p>
    <w:p w14:paraId="27700C9F">
      <w:pPr>
        <w:pStyle w:val="4"/>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管理本单位制度文件，根据政策、业务及管理变化情况，开展风险识别、评估，建立健全各项内部管理制度，制定和完善内部控制建设措施，更新制度文件；</w:t>
      </w:r>
    </w:p>
    <w:p w14:paraId="7521F5A1">
      <w:pPr>
        <w:pStyle w:val="4"/>
        <w:keepNext w:val="0"/>
        <w:keepLines w:val="0"/>
        <w:pageBreakBefore w:val="0"/>
        <w:widowControl/>
        <w:numPr>
          <w:ilvl w:val="0"/>
          <w:numId w:val="1"/>
        </w:numPr>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开展内部控制报告填报；</w:t>
      </w:r>
    </w:p>
    <w:p w14:paraId="767953BF">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（三）根据学校内部控制评价与监督部门的要求，开展本单位内部控制建设自查、自评工作；</w:t>
      </w:r>
    </w:p>
    <w:p w14:paraId="74EE544B">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（四）</w:t>
      </w:r>
      <w:r>
        <w:rPr>
          <w:rFonts w:hint="eastAsia" w:ascii="仿宋_GB2312" w:hAnsi="仿宋_GB2312" w:eastAsia="仿宋_GB2312" w:cs="仿宋_GB2312"/>
          <w:i w:val="0"/>
          <w:iCs w:val="0"/>
          <w:caps w:val="0"/>
          <w:color w:val="auto"/>
          <w:spacing w:val="0"/>
          <w:sz w:val="32"/>
          <w:szCs w:val="32"/>
          <w:shd w:val="clear" w:color="auto" w:fill="FFFFFF"/>
          <w:lang w:val="en-US" w:eastAsia="en-US"/>
        </w:rPr>
        <w:t>根据业务内部控制自查结果梳理内部控制缺陷</w:t>
      </w:r>
      <w:r>
        <w:rPr>
          <w:rFonts w:hint="eastAsia" w:ascii="仿宋_GB2312" w:hAnsi="仿宋_GB2312" w:eastAsia="仿宋_GB2312" w:cs="仿宋_GB2312"/>
          <w:i w:val="0"/>
          <w:iCs w:val="0"/>
          <w:caps w:val="0"/>
          <w:color w:val="auto"/>
          <w:spacing w:val="0"/>
          <w:sz w:val="32"/>
          <w:szCs w:val="32"/>
          <w:shd w:val="clear" w:color="auto" w:fill="FFFFFF"/>
          <w:lang w:val="en-US" w:eastAsia="zh-CN"/>
        </w:rPr>
        <w:t>，落实本单位控制缺陷整改工作；</w:t>
      </w:r>
    </w:p>
    <w:p w14:paraId="0DD3BB6F">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（五）内部控制领导小组交办的其他工作。</w:t>
      </w:r>
    </w:p>
    <w:p w14:paraId="6E94494D">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黑体" w:hAnsi="黑体" w:eastAsia="黑体" w:cs="黑体"/>
          <w:b w:val="0"/>
          <w:bCs w:val="0"/>
          <w:i w:val="0"/>
          <w:iCs w:val="0"/>
          <w:caps w:val="0"/>
          <w:color w:val="auto"/>
          <w:spacing w:val="0"/>
          <w:sz w:val="32"/>
          <w:szCs w:val="32"/>
          <w:shd w:val="clear" w:color="auto" w:fill="FFFFFF"/>
          <w:lang w:val="en-US" w:eastAsia="zh-CN"/>
        </w:rPr>
      </w:pPr>
      <w:r>
        <w:rPr>
          <w:rFonts w:hint="eastAsia" w:ascii="黑体" w:hAnsi="黑体" w:eastAsia="黑体" w:cs="黑体"/>
          <w:b w:val="0"/>
          <w:bCs w:val="0"/>
          <w:i w:val="0"/>
          <w:iCs w:val="0"/>
          <w:caps w:val="0"/>
          <w:color w:val="auto"/>
          <w:spacing w:val="0"/>
          <w:sz w:val="32"/>
          <w:szCs w:val="32"/>
          <w:shd w:val="clear" w:color="auto" w:fill="FFFFFF"/>
          <w:lang w:val="en-US" w:eastAsia="zh-CN"/>
        </w:rPr>
        <w:t>第三章  内部控制的建设与实施</w:t>
      </w:r>
    </w:p>
    <w:p w14:paraId="5F8BDB79">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第九条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学校内部控制的控制方法包括：</w:t>
      </w:r>
    </w:p>
    <w:p w14:paraId="41A74E42">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（一）不相容岗位相互分离。学校应合理设置内部控制关键岗位，明确划分职责权限，实施相应的分离措施，形成相互制约、相互监督的工作机制。</w:t>
      </w:r>
    </w:p>
    <w:p w14:paraId="756F3D8F">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（二）内部授权审批控制。明确各岗位办理业务和事项的权限范围、审批程序和相关责任，建立重大事项集体决策和会签制度。相关工作人员应当在授权范围内行使职权、办理业务。</w:t>
      </w:r>
    </w:p>
    <w:p w14:paraId="306A096D">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（三）归口管理。根据学校实际情况，按照权责对等的原则确定牵头部门，对有关经济活动实行统一管理。</w:t>
      </w:r>
    </w:p>
    <w:p w14:paraId="0372A18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（四）预算控制。强化对经济活动的预算约束，使预算管理贯穿于学校经济活动的全过程。</w:t>
      </w:r>
    </w:p>
    <w:p w14:paraId="5945A3AF">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（五）财产保护控制。建立资产日常管理制度和定期清查机制，采取资产记录、实物保管、定期盘点、账实核对等措施，确保资产安全完整。</w:t>
      </w:r>
    </w:p>
    <w:p w14:paraId="3B262629">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六）会计控制。建立健全学校财会管理制度，加强会计机构建设，提高会计人员业务水平，强化会计人员岗位责任制，规范会计基础工作，加强会计档案管理，明确会计凭证、会计账簿和财务会计报告处理程序。</w:t>
      </w:r>
    </w:p>
    <w:p w14:paraId="32CF928F">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（七）单据控制。根据国家有关规定和学校的经济活动业务流程，在内部管理制度中明确界定各项经济活动所涉及的表单和票据，相关工作人员应按照规定填制、审核、归档、保管单据。</w:t>
      </w:r>
    </w:p>
    <w:p w14:paraId="745D178B">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（八）信息公开。建立健全经济活动相关信息公开制度，根据国家有关规定和学校的实际情况，确定信息公开的内容、范围、方式和程序。</w:t>
      </w:r>
    </w:p>
    <w:p w14:paraId="19D749F5">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第十条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内部控制的建设与实施包括单位层面和业务层面两方面内容：</w:t>
      </w:r>
    </w:p>
    <w:p w14:paraId="14D8181E">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单位层面的内部控制即学校的控制环境，主要包括：“三重一大”事项决策机制、内部控制组织架构、制度环境、运行机制、关键岗位与人员、信息系统等方面。</w:t>
      </w:r>
    </w:p>
    <w:p w14:paraId="514CBC3B">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业务层面的内部控制包括预算业务、收支业务、政府采购业务、资产管理、建设项目管理、合同管理等方面。</w:t>
      </w:r>
    </w:p>
    <w:p w14:paraId="41A07CA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第十一条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学校充分利用信息化技术手段，加强内部控制建设，逐步实现管理制度化、制度流程化、流程表单化、表单信息化、信息智能化的建设要求。</w:t>
      </w:r>
    </w:p>
    <w:p w14:paraId="49EDCA70">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第十二条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各二级单位应推进本单位信息系统建设，将经济活动及其内部控制流程嵌入信息系统中，减少或消除人为操纵因素，加强对信息系统开发与维护、数据处理、网络安全等方面的管理，促进经济和业务活动的信息集成与共享，充分发挥信息技术在内部控制中的支撑作用。</w:t>
      </w:r>
    </w:p>
    <w:p w14:paraId="2FCB8303">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黑体" w:hAnsi="黑体" w:eastAsia="黑体" w:cs="黑体"/>
          <w:b w:val="0"/>
          <w:bCs w:val="0"/>
          <w:i w:val="0"/>
          <w:iCs w:val="0"/>
          <w:caps w:val="0"/>
          <w:color w:val="auto"/>
          <w:spacing w:val="0"/>
          <w:sz w:val="32"/>
          <w:szCs w:val="32"/>
          <w:shd w:val="clear" w:color="auto" w:fill="FFFFFF"/>
          <w:lang w:val="en-US" w:eastAsia="zh-CN"/>
        </w:rPr>
      </w:pPr>
      <w:r>
        <w:rPr>
          <w:rFonts w:hint="eastAsia" w:ascii="黑体" w:hAnsi="黑体" w:eastAsia="黑体" w:cs="黑体"/>
          <w:b w:val="0"/>
          <w:bCs w:val="0"/>
          <w:i w:val="0"/>
          <w:iCs w:val="0"/>
          <w:caps w:val="0"/>
          <w:color w:val="auto"/>
          <w:spacing w:val="0"/>
          <w:sz w:val="32"/>
          <w:szCs w:val="32"/>
          <w:shd w:val="clear" w:color="auto" w:fill="FFFFFF"/>
          <w:lang w:val="en-US" w:eastAsia="zh-CN"/>
        </w:rPr>
        <w:t>第四章 单位层面的内部控制</w:t>
      </w:r>
    </w:p>
    <w:p w14:paraId="5BD03D74">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第十三条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学校经济活动的决策、执行和监督应保证相互分离。</w:t>
      </w:r>
    </w:p>
    <w:p w14:paraId="3C3F7DD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学校应建立健全集体研究议事决策机制，明确“三重一大”事项的具体内容和标准，严格履行“三重一大”事项集体决策程序。</w:t>
      </w:r>
    </w:p>
    <w:p w14:paraId="66653CA6">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第十四条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建立健全内部控制关键岗位责任制，明确岗位职责及分工，确保不相容岗位相互分离、相互制约和相互监督。</w:t>
      </w:r>
    </w:p>
    <w:p w14:paraId="692CA71D">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学校实行内部控制关键岗位工作人员轮岗制度，明确轮岗周期，不具备轮岗条件的岗位应当采取专项审计等控制措施；加强内部授权审批控制，明确各岗位办理业务和事项的权限范围、审批程序和相关责任。</w:t>
      </w:r>
    </w:p>
    <w:p w14:paraId="6B42209A">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内部控制关键岗位主要包括预算业务管理、收支业务管理、政府采购业务管理、资产管理、建设项目管理、合同管理以及内部监督等经济活动的关键岗位。</w:t>
      </w:r>
    </w:p>
    <w:p w14:paraId="1755B0CE">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第十五条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制定并实施切合学校实际的发展战略和规划，有效实现学校资源配置的科学化和制度化。加强对战略规划实施情况的评估，需要对战略规划作出调整的，应当按照规定的权限和程序予以调整。</w:t>
      </w:r>
    </w:p>
    <w:p w14:paraId="068FF94D">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第十六条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各二级单位负责本单位的内部控制工作和办法落实，发现办法或业务流程存在漏洞，应及时提出改进意见和建议，提交内部控制建设小组。</w:t>
      </w:r>
    </w:p>
    <w:p w14:paraId="4BEE9E0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黑体" w:hAnsi="黑体" w:eastAsia="黑体" w:cs="黑体"/>
          <w:b w:val="0"/>
          <w:bCs w:val="0"/>
          <w:i w:val="0"/>
          <w:iCs w:val="0"/>
          <w:caps w:val="0"/>
          <w:color w:val="auto"/>
          <w:spacing w:val="0"/>
          <w:sz w:val="32"/>
          <w:szCs w:val="32"/>
          <w:shd w:val="clear" w:color="auto" w:fill="FFFFFF"/>
          <w:lang w:val="en-US" w:eastAsia="zh-CN"/>
        </w:rPr>
      </w:pPr>
      <w:r>
        <w:rPr>
          <w:rFonts w:hint="eastAsia" w:ascii="黑体" w:hAnsi="黑体" w:eastAsia="黑体" w:cs="黑体"/>
          <w:b w:val="0"/>
          <w:bCs w:val="0"/>
          <w:i w:val="0"/>
          <w:iCs w:val="0"/>
          <w:caps w:val="0"/>
          <w:color w:val="auto"/>
          <w:spacing w:val="0"/>
          <w:sz w:val="32"/>
          <w:szCs w:val="32"/>
          <w:shd w:val="clear" w:color="auto" w:fill="FFFFFF"/>
          <w:lang w:val="en-US" w:eastAsia="zh-CN"/>
        </w:rPr>
        <w:t>第五章 业务层面的内部控制</w:t>
      </w:r>
    </w:p>
    <w:p w14:paraId="6AD6F1DA">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楷体" w:hAnsi="楷体" w:eastAsia="楷体" w:cs="楷体"/>
          <w:b w:val="0"/>
          <w:bCs w:val="0"/>
          <w:i w:val="0"/>
          <w:iCs w:val="0"/>
          <w:caps w:val="0"/>
          <w:color w:val="auto"/>
          <w:spacing w:val="0"/>
          <w:sz w:val="32"/>
          <w:szCs w:val="32"/>
          <w:shd w:val="clear" w:color="auto" w:fill="FFFFFF"/>
          <w:lang w:val="en-US" w:eastAsia="zh-CN"/>
        </w:rPr>
      </w:pPr>
      <w:r>
        <w:rPr>
          <w:rFonts w:hint="eastAsia" w:ascii="楷体" w:hAnsi="楷体" w:eastAsia="楷体" w:cs="楷体"/>
          <w:b w:val="0"/>
          <w:bCs w:val="0"/>
          <w:i w:val="0"/>
          <w:iCs w:val="0"/>
          <w:caps w:val="0"/>
          <w:color w:val="auto"/>
          <w:spacing w:val="0"/>
          <w:sz w:val="32"/>
          <w:szCs w:val="32"/>
          <w:shd w:val="clear" w:color="auto" w:fill="FFFFFF"/>
          <w:lang w:val="en-US" w:eastAsia="zh-CN"/>
        </w:rPr>
        <w:t>第一节 预算业务控制</w:t>
      </w:r>
    </w:p>
    <w:p w14:paraId="3C457F4F">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第十七条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学校应建立健全预算编制、审批、执行、决算与评价等预算内部管理制度。</w:t>
      </w:r>
    </w:p>
    <w:p w14:paraId="1CBC7F6E">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学校应当合理设置预算业务岗位，明确相关岗位的职责权限，确保预算编制、审批、执行、评价等不相容岗位相互分离。</w:t>
      </w:r>
    </w:p>
    <w:p w14:paraId="2037512F">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第十八条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财务处作为学校一级预算单位，具体负责预算的编制、调整和监督工作。各二级单位是本单位预算的责任主体，负责本单位的预算执行，并对执行结果负责。财务处定期通报各部门预算执行情况，召开预算执行分析会议，研究解决预算执行中存在的问题，提出改进措施，提高预算执行的有效性。</w:t>
      </w:r>
    </w:p>
    <w:p w14:paraId="0DE9F6F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第十九条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各二级单位应做到“先预算后支出，无预算不支出”保持预算的稳定性和严肃性。预算经批准确定后，原则上不得进行调整。如遇国家政策调整、年度工作任务发生重大变化或遇不可预见事项等对预算支出有重大影响而确需调整时，应根据实际情况经学校预算管理委员会审议，校长办公会或党委会审定批准后作适当调整。</w:t>
      </w:r>
    </w:p>
    <w:p w14:paraId="3E437AE2">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第二十条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学校应当加强预算绩效管理，建立“预算编制有目标、预算执行有监控、预算完成有评价、评价结果有反馈、反馈结果有应用”的全过程预算绩效管理机制。</w:t>
      </w:r>
    </w:p>
    <w:p w14:paraId="0F4687E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i w:val="0"/>
          <w:iCs w:val="0"/>
          <w:caps w:val="0"/>
          <w:color w:val="auto"/>
          <w:spacing w:val="0"/>
          <w:sz w:val="32"/>
          <w:szCs w:val="32"/>
          <w:shd w:val="clear" w:color="auto" w:fill="FFFFFF"/>
          <w:lang w:val="en-US" w:eastAsia="zh-CN"/>
        </w:rPr>
        <w:t>财务处指导并监督各二级单位开展预算项目绩效目标申报和绩效自评工作，将绩效评价结果提交预算管理委员会审议。</w:t>
      </w:r>
    </w:p>
    <w:p w14:paraId="43793BE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第二十一条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应当加强决算管理，确保决算真实、完整、准确、及时，加强决算分析工作、强化决算分析结果应用。预算年度末，按照上级主管部门的要求进行年终结账、编制年度财务决算报告，提交预算管理委员会审议。</w:t>
      </w:r>
    </w:p>
    <w:p w14:paraId="4930BBA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楷体" w:hAnsi="楷体" w:eastAsia="楷体" w:cs="楷体"/>
          <w:b w:val="0"/>
          <w:bCs w:val="0"/>
          <w:i w:val="0"/>
          <w:iCs w:val="0"/>
          <w:caps w:val="0"/>
          <w:color w:val="auto"/>
          <w:spacing w:val="0"/>
          <w:sz w:val="32"/>
          <w:szCs w:val="32"/>
          <w:shd w:val="clear" w:color="auto" w:fill="FFFFFF"/>
          <w:lang w:val="en-US" w:eastAsia="zh-CN"/>
        </w:rPr>
      </w:pPr>
      <w:r>
        <w:rPr>
          <w:rFonts w:hint="eastAsia" w:ascii="楷体" w:hAnsi="楷体" w:eastAsia="楷体" w:cs="楷体"/>
          <w:b w:val="0"/>
          <w:bCs w:val="0"/>
          <w:i w:val="0"/>
          <w:iCs w:val="0"/>
          <w:caps w:val="0"/>
          <w:color w:val="auto"/>
          <w:spacing w:val="0"/>
          <w:sz w:val="32"/>
          <w:szCs w:val="32"/>
          <w:shd w:val="clear" w:color="auto" w:fill="FFFFFF"/>
          <w:lang w:val="en-US" w:eastAsia="zh-CN"/>
        </w:rPr>
        <w:t>第二节   收支业务控制</w:t>
      </w:r>
    </w:p>
    <w:p w14:paraId="01399549">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第二十二条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学校应依法依规组织各类收入，规范各类收费事项，加强票据管理，保证收入完整。各项收入应全部纳入单位预算，统一核算，统一管理。</w:t>
      </w:r>
    </w:p>
    <w:p w14:paraId="023D351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第二十三条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各二级单位在签订收入合同或协议后及时将合同等有关材料提交财务处作为账务处理依据，确保各项收入应收尽收，及时入账。财务处应当定期检查收入金额是否与合同约定相符；对应收未收项目应当查明情况，明确主体责任，落实催收责任。</w:t>
      </w:r>
    </w:p>
    <w:p w14:paraId="50814AEA">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第二十四条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规范各类支出的审批流程，明确资金流向和使用范围，明确各类支出的关键控制点，严禁设置“小金库”，严禁资金挤占挪用、损失浪费。</w:t>
      </w:r>
    </w:p>
    <w:p w14:paraId="65AC9E52">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第二十五条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学校对各项支出实行项目管理。项目负责人对项目支出真实性、合理性、合法性、有效性负直接经济责任。项目负责人要严格执行项目支出预算，按规定履行相关支出的事先和事后审批程序。</w:t>
      </w:r>
    </w:p>
    <w:p w14:paraId="543EAF5D">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第二十六条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应合理设置岗位，明确岗位职责，收入业务应确保收款、会计核算等不相容岗位相互分离；支出业务应确保支出申请和内部审批、付款审批和付款执行、业务经办和会计核算等不相容岗位相互分离。财务人员要依据财经法规和学校相关制度行使财会监督权。</w:t>
      </w:r>
    </w:p>
    <w:p w14:paraId="23C34939">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第二十七条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加强银行账户管理，定期清理排查实有资金账户中长期沉淀的往来款和应缴未缴财政的资金等。</w:t>
      </w:r>
    </w:p>
    <w:p w14:paraId="5579699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楷体" w:hAnsi="楷体" w:eastAsia="楷体" w:cs="楷体"/>
          <w:b w:val="0"/>
          <w:bCs w:val="0"/>
          <w:i w:val="0"/>
          <w:iCs w:val="0"/>
          <w:caps w:val="0"/>
          <w:color w:val="auto"/>
          <w:spacing w:val="0"/>
          <w:sz w:val="32"/>
          <w:szCs w:val="32"/>
          <w:shd w:val="clear" w:color="auto" w:fill="FFFFFF"/>
          <w:lang w:val="en-US" w:eastAsia="zh-CN"/>
        </w:rPr>
      </w:pPr>
      <w:r>
        <w:rPr>
          <w:rFonts w:hint="eastAsia" w:ascii="楷体" w:hAnsi="楷体" w:eastAsia="楷体" w:cs="楷体"/>
          <w:b w:val="0"/>
          <w:bCs w:val="0"/>
          <w:i w:val="0"/>
          <w:iCs w:val="0"/>
          <w:caps w:val="0"/>
          <w:color w:val="auto"/>
          <w:spacing w:val="0"/>
          <w:sz w:val="32"/>
          <w:szCs w:val="32"/>
          <w:shd w:val="clear" w:color="auto" w:fill="FFFFFF"/>
          <w:lang w:val="en-US" w:eastAsia="zh-CN"/>
        </w:rPr>
        <w:t>第三节   政府采购业务控制</w:t>
      </w:r>
    </w:p>
    <w:p w14:paraId="1EE22296">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第二十八条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学校应当按照“谁采购谁负责”原则，明确职责划分与归口管理，建立健全采购活动的组织管理等规章制度。</w:t>
      </w:r>
    </w:p>
    <w:p w14:paraId="04A993C0">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第二十九条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资产管理处是设备和服务采购业务的归口管理部门，后勤管理处是工程采购业务的归口管理部门，分别负责指导校内各二级单位相应业务的采购与招标工作。</w:t>
      </w:r>
    </w:p>
    <w:p w14:paraId="5E23733D">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第三十条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资产管理处、后勤管理处和各二级单位应当明确相关岗位的职责权限，确保采购需求制定与内部审批、招标文件准备与复核、合同签订与验收、验收与保管等不相容岗位相互分离。</w:t>
      </w:r>
    </w:p>
    <w:p w14:paraId="7CD9D24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第三十一条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采购分为学校统一采购和各单位自行采购两种形式。学校统一采购由资产管理处和后勤管理处负责。应按政府采购预算、审批权限和程序组织采购，定期检查和评价采购过程中的薄弱环节，采取有效控制措施。严格落实采购过程中的关键管控环节，细化采购执行中需求管理、政策落实、履约验收、信息公开等重点环节的控制措施。</w:t>
      </w:r>
    </w:p>
    <w:p w14:paraId="506E416F">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第三十二条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资产管理处和后勤管理处负责妥善保管采购计划、各类批复文件、招标文件、投标文件、评标过程资料、验收证明等采购业务相关材料。</w:t>
      </w:r>
    </w:p>
    <w:p w14:paraId="60F01903">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第三十三条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资产管理处和后勤管理处应根据法律法规，选择公开招标、邀请招标、竞争性谈判、竞争性磋商、单一来源采购、合作创新、询比、框架协议、电子卖场等采购方式。</w:t>
      </w:r>
    </w:p>
    <w:p w14:paraId="4EED6086">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第三十四条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学校应加强对涉密采购项目安全保密的管理。对于涉密采购项目，学校应与具有相应保密资质认证的供应商或采购中介机构签订保密协议或者在合同中设定保密条款。</w:t>
      </w:r>
    </w:p>
    <w:p w14:paraId="6D559C4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楷体" w:hAnsi="楷体" w:eastAsia="楷体" w:cs="楷体"/>
          <w:b w:val="0"/>
          <w:bCs w:val="0"/>
          <w:i w:val="0"/>
          <w:iCs w:val="0"/>
          <w:caps w:val="0"/>
          <w:color w:val="auto"/>
          <w:spacing w:val="0"/>
          <w:sz w:val="32"/>
          <w:szCs w:val="32"/>
          <w:shd w:val="clear" w:color="auto" w:fill="FFFFFF"/>
          <w:lang w:val="en-US" w:eastAsia="zh-CN"/>
        </w:rPr>
      </w:pPr>
      <w:r>
        <w:rPr>
          <w:rFonts w:hint="eastAsia" w:ascii="楷体" w:hAnsi="楷体" w:eastAsia="楷体" w:cs="楷体"/>
          <w:b w:val="0"/>
          <w:bCs w:val="0"/>
          <w:i w:val="0"/>
          <w:iCs w:val="0"/>
          <w:caps w:val="0"/>
          <w:color w:val="auto"/>
          <w:spacing w:val="0"/>
          <w:sz w:val="32"/>
          <w:szCs w:val="32"/>
          <w:shd w:val="clear" w:color="auto" w:fill="FFFFFF"/>
          <w:lang w:val="en-US" w:eastAsia="zh-CN"/>
        </w:rPr>
        <w:t>第四节   资产控制</w:t>
      </w:r>
    </w:p>
    <w:p w14:paraId="42E0A453">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第三十五条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资产管理控制主要包括货币资金、实物资产和无形资产管理控制等。</w:t>
      </w:r>
    </w:p>
    <w:p w14:paraId="4C7EFA62">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第三十六条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财务处是货币资金归口管理部门，应按照相关管理规定，严格岗位责任，确保不相容岗位相互分离；应加强银行账户管理，严格按照规定的审批权限和程序开立、变更和撤销银行账户；应加强货币资金的核查控制，加强银行对账，确保账账相符、账实相符。</w:t>
      </w:r>
    </w:p>
    <w:p w14:paraId="7A311829">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第三十七条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资产管理处是实物资产和无形资产的归口管理部门，负责建立健全实物资产和无形资产内部管理制度，明确资产使用和保管责任人，落实资产使用人在资产管理中的责任；明确资产的调剂、租借、处置程序、审批权限和责任；负责资产台账管理并定期清查盘点，确保账账、账实相符；建立并完善资产信息管理系统，做好资产的统计、报告、分析工作，实现对资产的动态管理；负责按规定办理资产处置手续；推动大型科研仪器设备等资产共享共用，促进长期低效运转、闲置资产调剂使用。</w:t>
      </w:r>
    </w:p>
    <w:p w14:paraId="009FDFD9">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第三十八条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资产管理处及相关管理部门应加强对专利、商标、著作、非专利技术、校名校誉、商誉等无形资产的管理，依法保护，合理利用，明晰产权归属。</w:t>
      </w:r>
    </w:p>
    <w:p w14:paraId="15196E36">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第三十九条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后勤管理处负责学校房屋及场地出租。</w:t>
      </w:r>
    </w:p>
    <w:p w14:paraId="7CD6A62F">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第四十条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校内各单位及个人，未经批准，不得擅自利用学校国有资产从事对外投资、出租、出借等经济活动。</w:t>
      </w:r>
    </w:p>
    <w:p w14:paraId="6EFE8C48">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楷体" w:hAnsi="楷体" w:eastAsia="楷体" w:cs="楷体"/>
          <w:b w:val="0"/>
          <w:bCs w:val="0"/>
          <w:i w:val="0"/>
          <w:iCs w:val="0"/>
          <w:caps w:val="0"/>
          <w:color w:val="auto"/>
          <w:spacing w:val="0"/>
          <w:sz w:val="32"/>
          <w:szCs w:val="32"/>
          <w:shd w:val="clear" w:color="auto" w:fill="FFFFFF"/>
          <w:lang w:val="en-US" w:eastAsia="zh-CN"/>
        </w:rPr>
      </w:pPr>
      <w:r>
        <w:rPr>
          <w:rFonts w:hint="eastAsia" w:ascii="楷体" w:hAnsi="楷体" w:eastAsia="楷体" w:cs="楷体"/>
          <w:b w:val="0"/>
          <w:bCs w:val="0"/>
          <w:i w:val="0"/>
          <w:iCs w:val="0"/>
          <w:caps w:val="0"/>
          <w:color w:val="auto"/>
          <w:spacing w:val="0"/>
          <w:sz w:val="32"/>
          <w:szCs w:val="32"/>
          <w:shd w:val="clear" w:color="auto" w:fill="FFFFFF"/>
          <w:lang w:val="en-US" w:eastAsia="zh-CN"/>
        </w:rPr>
        <w:t>第五节   建设项目控制</w:t>
      </w:r>
    </w:p>
    <w:p w14:paraId="3F93D9A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第四十一条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后勤管理处是学校新建项目和修缮项目的归口管理部门，要严格履行建设项目业务程序，梳理各个环节可能存在的风险点，明确相关岗位的职责权限，确保项目建议和可行性研究与项目决策、概预算编制与审核、项目实施与价款支付、竣工决算与竣工审计等不相容岗位相互分离。</w:t>
      </w:r>
    </w:p>
    <w:p w14:paraId="61664472">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第四十二条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后勤管理处应规范新增建设项目和修缮项目的必要性及可行性研究与论证，严格履行审批备案程序，加强建设项目投资控制与概预算管理。</w:t>
      </w:r>
    </w:p>
    <w:p w14:paraId="63E32704">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第四十三条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后勤管理处应在规定的期限内与中标人订立书面合同，明确双方的权利、义务和违约责任。合同应涉及合同主体、质量标准、安全、进度、结算、变更、工程价款、索赔、保修等核心条款。</w:t>
      </w:r>
    </w:p>
    <w:p w14:paraId="6327DE8C">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第四十四条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后勤管理处要加强对工程项目的目标管理控制，确保投资可控，进度合理，质量达标，加强对施工过程中安全的监督；工程变更及工程结算要严格按照权限审批。</w:t>
      </w:r>
    </w:p>
    <w:p w14:paraId="647266E5">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第四十五条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后勤管理处应当及时组织工程项目竣工验收。对符合竣工验收条件的工程项目，组织勘察单位、设计单位、施工单位、监理单位、使用单位及校内相关职能部门进行竣工验收。工程项目验收后应及时办理竣工结算、决算及资产移交等工作。</w:t>
      </w:r>
    </w:p>
    <w:p w14:paraId="6A212495">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第四十六条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后勤管理处要加强对新建（修缮）工程项目档案的管理，做好相关文件、材料的收集、整理、归档、保管、移交等工作。</w:t>
      </w:r>
    </w:p>
    <w:p w14:paraId="19176086">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黑体" w:hAnsi="黑体" w:eastAsia="黑体" w:cs="黑体"/>
          <w:b w:val="0"/>
          <w:bCs w:val="0"/>
          <w:i w:val="0"/>
          <w:iCs w:val="0"/>
          <w:caps w:val="0"/>
          <w:color w:val="auto"/>
          <w:spacing w:val="0"/>
          <w:sz w:val="32"/>
          <w:szCs w:val="32"/>
          <w:shd w:val="clear" w:color="auto" w:fill="FFFFFF"/>
          <w:lang w:val="en-US" w:eastAsia="zh-CN"/>
        </w:rPr>
      </w:pPr>
    </w:p>
    <w:p w14:paraId="46F35DBA">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黑体" w:hAnsi="黑体" w:eastAsia="黑体" w:cs="黑体"/>
          <w:b w:val="0"/>
          <w:bCs w:val="0"/>
          <w:i w:val="0"/>
          <w:iCs w:val="0"/>
          <w:caps w:val="0"/>
          <w:color w:val="auto"/>
          <w:spacing w:val="0"/>
          <w:sz w:val="32"/>
          <w:szCs w:val="32"/>
          <w:shd w:val="clear" w:color="auto" w:fill="FFFFFF"/>
          <w:lang w:val="en-US" w:eastAsia="zh-CN"/>
        </w:rPr>
      </w:pPr>
    </w:p>
    <w:p w14:paraId="2CC7662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楷体" w:hAnsi="楷体" w:eastAsia="楷体" w:cs="楷体"/>
          <w:b w:val="0"/>
          <w:bCs w:val="0"/>
          <w:i w:val="0"/>
          <w:iCs w:val="0"/>
          <w:caps w:val="0"/>
          <w:color w:val="auto"/>
          <w:spacing w:val="0"/>
          <w:sz w:val="32"/>
          <w:szCs w:val="32"/>
          <w:shd w:val="clear" w:color="auto" w:fill="FFFFFF"/>
          <w:lang w:val="en-US" w:eastAsia="zh-CN"/>
        </w:rPr>
      </w:pPr>
      <w:r>
        <w:rPr>
          <w:rFonts w:hint="eastAsia" w:ascii="楷体" w:hAnsi="楷体" w:eastAsia="楷体" w:cs="楷体"/>
          <w:b w:val="0"/>
          <w:bCs w:val="0"/>
          <w:i w:val="0"/>
          <w:iCs w:val="0"/>
          <w:caps w:val="0"/>
          <w:color w:val="auto"/>
          <w:spacing w:val="0"/>
          <w:sz w:val="32"/>
          <w:szCs w:val="32"/>
          <w:shd w:val="clear" w:color="auto" w:fill="FFFFFF"/>
          <w:lang w:val="en-US" w:eastAsia="zh-CN"/>
        </w:rPr>
        <w:t>第六节   合同控制</w:t>
      </w:r>
    </w:p>
    <w:p w14:paraId="68AEAAA0">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第四十七条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明确合同管理归口部门、合同各相关部门职责权限，规范各类合同的分级分层审批流程、签署权限及程序，明确合同合法性审查的具体内容和标准；加强授权管理、合同订立、合同审批、合同用印、合同归档管理，强化对合同履行情况的监控，确保合同全面有效履行。</w:t>
      </w:r>
    </w:p>
    <w:p w14:paraId="161F0C5E">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第四十八条</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重大合同统一管理，经分级授权审批后，报请校长签署合同或由校长授权专人签署合同，加盖学校合同专用章；重大合同以外的合同为一般合同，参照学校相关管理办法执行。</w:t>
      </w:r>
    </w:p>
    <w:p w14:paraId="7ACF5001">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_GB2312" w:hAnsi="仿宋_GB2312" w:eastAsia="仿宋_GB2312" w:cs="仿宋_GB2312"/>
          <w:i w:val="0"/>
          <w:iCs w:val="0"/>
          <w:caps w:val="0"/>
          <w:color w:val="auto"/>
          <w:spacing w:val="0"/>
          <w:sz w:val="32"/>
          <w:szCs w:val="32"/>
          <w:shd w:val="clear" w:color="auto" w:fill="FFFFFF"/>
          <w:lang w:val="en-US" w:eastAsia="zh-CN"/>
        </w:rPr>
      </w:pPr>
      <w:r>
        <w:rPr>
          <w:rFonts w:hint="eastAsia" w:ascii="仿宋_GB2312" w:hAnsi="仿宋_GB2312" w:eastAsia="仿宋_GB2312" w:cs="仿宋_GB2312"/>
          <w:b/>
          <w:bCs/>
          <w:i w:val="0"/>
          <w:iCs w:val="0"/>
          <w:caps w:val="0"/>
          <w:color w:val="555555"/>
          <w:spacing w:val="0"/>
          <w:sz w:val="32"/>
          <w:szCs w:val="32"/>
          <w:shd w:val="clear" w:color="auto" w:fill="FFFFFF"/>
          <w:lang w:val="en-US" w:eastAsia="zh-CN"/>
        </w:rPr>
        <w:t xml:space="preserve">第四十九条 </w:t>
      </w:r>
      <w:r>
        <w:rPr>
          <w:rFonts w:hint="eastAsia" w:ascii="仿宋_GB2312" w:hAnsi="仿宋_GB2312" w:eastAsia="仿宋_GB2312" w:cs="仿宋_GB2312"/>
          <w:i w:val="0"/>
          <w:iCs w:val="0"/>
          <w:caps w:val="0"/>
          <w:color w:val="auto"/>
          <w:spacing w:val="0"/>
          <w:sz w:val="32"/>
          <w:szCs w:val="32"/>
          <w:shd w:val="clear" w:color="auto" w:fill="FFFFFF"/>
          <w:lang w:val="en-US" w:eastAsia="zh-CN"/>
        </w:rPr>
        <w:t xml:space="preserve"> 各二级单位要严格执行学校合同管理制度。严禁任何单位未经授权擅自以学校、部门名义对外签订合同；严禁违规签订担保、投资和借贷合同。</w:t>
      </w:r>
    </w:p>
    <w:p w14:paraId="43F98C86">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0" w:firstLineChars="200"/>
        <w:jc w:val="center"/>
        <w:textAlignment w:val="auto"/>
        <w:rPr>
          <w:rFonts w:hint="eastAsia" w:ascii="黑体" w:hAnsi="黑体" w:eastAsia="黑体" w:cs="黑体"/>
          <w:b w:val="0"/>
          <w:bCs w:val="0"/>
          <w:i w:val="0"/>
          <w:iCs w:val="0"/>
          <w:caps w:val="0"/>
          <w:color w:val="auto"/>
          <w:spacing w:val="0"/>
          <w:sz w:val="32"/>
          <w:szCs w:val="32"/>
          <w:shd w:val="clear" w:color="auto" w:fill="FFFFFF"/>
          <w:lang w:val="en-US" w:eastAsia="zh-CN"/>
        </w:rPr>
      </w:pPr>
      <w:r>
        <w:rPr>
          <w:rFonts w:hint="eastAsia" w:ascii="黑体" w:hAnsi="黑体" w:eastAsia="黑体" w:cs="黑体"/>
          <w:b w:val="0"/>
          <w:bCs w:val="0"/>
          <w:i w:val="0"/>
          <w:iCs w:val="0"/>
          <w:caps w:val="0"/>
          <w:color w:val="auto"/>
          <w:spacing w:val="0"/>
          <w:sz w:val="32"/>
          <w:szCs w:val="32"/>
          <w:shd w:val="clear" w:color="auto" w:fill="FFFFFF"/>
          <w:lang w:val="en-US" w:eastAsia="zh-CN"/>
        </w:rPr>
        <w:t>第六章 附则</w:t>
      </w:r>
    </w:p>
    <w:p w14:paraId="1FB27FF3">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 w:hAnsi="仿宋" w:eastAsia="仿宋" w:cs="仿宋"/>
          <w:i w:val="0"/>
          <w:iCs w:val="0"/>
          <w:caps w:val="0"/>
          <w:color w:val="auto"/>
          <w:spacing w:val="0"/>
          <w:sz w:val="32"/>
          <w:szCs w:val="32"/>
          <w:shd w:val="clear" w:color="auto" w:fill="FFFFFF"/>
          <w:lang w:val="en-US" w:eastAsia="zh-CN"/>
        </w:rPr>
      </w:pPr>
      <w:r>
        <w:rPr>
          <w:rFonts w:hint="eastAsia" w:ascii="仿宋" w:hAnsi="仿宋" w:eastAsia="仿宋" w:cs="仿宋"/>
          <w:b/>
          <w:bCs/>
          <w:i w:val="0"/>
          <w:iCs w:val="0"/>
          <w:caps w:val="0"/>
          <w:color w:val="555555"/>
          <w:spacing w:val="0"/>
          <w:sz w:val="32"/>
          <w:szCs w:val="32"/>
          <w:shd w:val="clear" w:color="auto" w:fill="FFFFFF"/>
          <w:lang w:val="en-US" w:eastAsia="zh-CN"/>
        </w:rPr>
        <w:t>第五十条</w:t>
      </w:r>
      <w:r>
        <w:rPr>
          <w:rFonts w:hint="eastAsia" w:ascii="仿宋" w:hAnsi="仿宋" w:eastAsia="仿宋" w:cs="仿宋"/>
          <w:b/>
          <w:bCs/>
          <w:i w:val="0"/>
          <w:iCs w:val="0"/>
          <w:caps w:val="0"/>
          <w:color w:val="auto"/>
          <w:spacing w:val="0"/>
          <w:sz w:val="32"/>
          <w:szCs w:val="32"/>
          <w:shd w:val="clear" w:color="auto" w:fill="FFFFFF"/>
          <w:lang w:val="en-US" w:eastAsia="zh-CN"/>
        </w:rPr>
        <w:t xml:space="preserve"> </w:t>
      </w:r>
      <w:r>
        <w:rPr>
          <w:rFonts w:hint="eastAsia" w:ascii="仿宋" w:hAnsi="仿宋" w:eastAsia="仿宋" w:cs="仿宋"/>
          <w:i w:val="0"/>
          <w:iCs w:val="0"/>
          <w:caps w:val="0"/>
          <w:color w:val="auto"/>
          <w:spacing w:val="0"/>
          <w:sz w:val="32"/>
          <w:szCs w:val="32"/>
          <w:shd w:val="clear" w:color="auto" w:fill="FFFFFF"/>
          <w:lang w:val="en-US" w:eastAsia="zh-CN"/>
        </w:rPr>
        <w:t xml:space="preserve"> 本办法的解释工作由财务处负责 。</w:t>
      </w:r>
    </w:p>
    <w:p w14:paraId="3BD30837">
      <w:pPr>
        <w:pStyle w:val="4"/>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560" w:lineRule="exact"/>
        <w:ind w:right="0" w:firstLine="643" w:firstLineChars="200"/>
        <w:jc w:val="both"/>
        <w:textAlignment w:val="auto"/>
        <w:rPr>
          <w:rFonts w:hint="eastAsia" w:ascii="仿宋" w:hAnsi="仿宋" w:eastAsia="仿宋" w:cs="仿宋"/>
          <w:i w:val="0"/>
          <w:iCs w:val="0"/>
          <w:caps w:val="0"/>
          <w:color w:val="auto"/>
          <w:spacing w:val="0"/>
          <w:sz w:val="32"/>
          <w:szCs w:val="32"/>
          <w:shd w:val="clear" w:color="auto" w:fill="FFFFFF"/>
          <w:lang w:val="en-US" w:eastAsia="zh-CN"/>
        </w:rPr>
      </w:pPr>
      <w:r>
        <w:rPr>
          <w:rFonts w:hint="eastAsia" w:ascii="仿宋" w:hAnsi="仿宋" w:eastAsia="仿宋" w:cs="仿宋"/>
          <w:b/>
          <w:bCs/>
          <w:i w:val="0"/>
          <w:iCs w:val="0"/>
          <w:caps w:val="0"/>
          <w:color w:val="555555"/>
          <w:spacing w:val="0"/>
          <w:sz w:val="32"/>
          <w:szCs w:val="32"/>
          <w:shd w:val="clear" w:color="auto" w:fill="FFFFFF"/>
          <w:lang w:val="en-US" w:eastAsia="zh-CN"/>
        </w:rPr>
        <w:t>第五十一条</w:t>
      </w:r>
      <w:r>
        <w:rPr>
          <w:rFonts w:hint="eastAsia" w:ascii="仿宋" w:hAnsi="仿宋" w:eastAsia="仿宋" w:cs="仿宋"/>
          <w:i w:val="0"/>
          <w:iCs w:val="0"/>
          <w:caps w:val="0"/>
          <w:color w:val="auto"/>
          <w:spacing w:val="0"/>
          <w:sz w:val="32"/>
          <w:szCs w:val="32"/>
          <w:shd w:val="clear" w:color="auto" w:fill="FFFFFF"/>
          <w:lang w:val="en-US" w:eastAsia="zh-CN"/>
        </w:rPr>
        <w:t xml:space="preserve">  本办法自印发之日起施行，《河北建筑工程学院内部控制制度（试行）》（校政〔2015〕139号）同时废止。</w:t>
      </w:r>
    </w:p>
    <w:p w14:paraId="06EAD18D"/>
    <w:p w14:paraId="305E2E7B"/>
    <w:sectPr>
      <w:headerReference r:id="rId3" w:type="default"/>
      <w:footerReference r:id="rId4" w:type="default"/>
      <w:pgSz w:w="11906" w:h="16838"/>
      <w:pgMar w:top="720" w:right="720" w:bottom="720" w:left="72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sans-serif">
    <w:altName w:val="Segoe Print"/>
    <w:panose1 w:val="00000000000000000000"/>
    <w:charset w:val="00"/>
    <w:family w:val="auto"/>
    <w:pitch w:val="default"/>
    <w:sig w:usb0="00000000" w:usb1="00000000" w:usb2="00000000" w:usb3="00000000" w:csb0="00040001" w:csb1="00000000"/>
  </w:font>
  <w:font w:name="Wingdings 2">
    <w:altName w:val="Wingdings"/>
    <w:panose1 w:val="05020102010507070707"/>
    <w:charset w:val="02"/>
    <w:family w:val="auto"/>
    <w:pitch w:val="default"/>
    <w:sig w:usb0="00000000" w:usb1="00000000" w:usb2="00000000" w:usb3="00000000" w:csb0="80000000" w:csb1="00000000"/>
  </w:font>
  <w:font w:name="楷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长城楷体">
    <w:altName w:val="宋体"/>
    <w:panose1 w:val="02010609000101010101"/>
    <w:charset w:val="86"/>
    <w:family w:val="modern"/>
    <w:pitch w:val="default"/>
    <w:sig w:usb0="00000000" w:usb1="00000000" w:usb2="00000010" w:usb3="00000000" w:csb0="00040000" w:csb1="00000000"/>
  </w:font>
  <w:font w:name="Segoe Print">
    <w:panose1 w:val="02000600000000000000"/>
    <w:charset w:val="00"/>
    <w:family w:val="auto"/>
    <w:pitch w:val="default"/>
    <w:sig w:usb0="0000028F" w:usb1="00000000" w:usb2="00000000" w:usb3="00000000" w:csb0="2000009F" w:csb1="47010000"/>
  </w:font>
  <w:font w:name="Kingsoft UE">
    <w:panose1 w:val="02000100010000000000"/>
    <w:charset w:val="00"/>
    <w:family w:val="auto"/>
    <w:pitch w:val="default"/>
    <w:sig w:usb0="00000001" w:usb1="00004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42091">
    <w:pPr>
      <w:pStyle w:val="2"/>
      <w:jc w:val="right"/>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070E6CE">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BG+QoMkBAACZAwAADgAAAGRycy9lMm9Eb2MueG1srVPNjtMwEL4j8Q6W&#10;79TZroS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uHEPW+K0uU60G4PSRsovSWK4ywU2GcWGE3bVdeicf3kvXw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Eb5CgyQEAAJkDAAAOAAAAAAAAAAEAIAAAAB4BAABkcnMvZTJvRG9j&#10;LnhtbFBLBQYAAAAABgAGAFkBAABZBQAAAAA=&#10;">
              <v:fill on="f" focussize="0,0"/>
              <v:stroke on="f"/>
              <v:imagedata o:title=""/>
              <o:lock v:ext="edit" aspectratio="f"/>
              <v:textbox inset="0mm,0mm,0mm,0mm" style="mso-fit-shape-to-text:t;">
                <w:txbxContent>
                  <w:p w14:paraId="4070E6CE">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3056C">
    <w:pPr>
      <w:pStyle w:val="3"/>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7AB2CA"/>
    <w:multiLevelType w:val="singleLevel"/>
    <w:tmpl w:val="347AB2C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5E3FB6"/>
    <w:rsid w:val="3CCE564F"/>
    <w:rsid w:val="51F62284"/>
    <w:rsid w:val="695E3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8">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paragraph" w:styleId="5">
    <w:name w:val="Title"/>
    <w:basedOn w:val="1"/>
    <w:next w:val="1"/>
    <w:qFormat/>
    <w:uiPriority w:val="0"/>
    <w:pPr>
      <w:spacing w:before="240" w:beforeLines="0" w:after="60" w:afterLines="0"/>
      <w:jc w:val="center"/>
      <w:outlineLvl w:val="0"/>
    </w:pPr>
    <w:rPr>
      <w:rFonts w:ascii="Calibri Light" w:hAnsi="Calibri Light" w:eastAsia="宋体" w:cs="黑体"/>
      <w:b/>
      <w:bCs/>
      <w:kern w:val="2"/>
      <w:sz w:val="32"/>
      <w:szCs w:val="32"/>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font21"/>
    <w:basedOn w:val="8"/>
    <w:qFormat/>
    <w:uiPriority w:val="0"/>
    <w:rPr>
      <w:rFonts w:hint="default" w:ascii="Calibri" w:hAnsi="Calibri" w:cs="Calibri"/>
      <w:color w:val="000000"/>
      <w:sz w:val="22"/>
      <w:szCs w:val="22"/>
      <w:u w:val="none"/>
    </w:rPr>
  </w:style>
  <w:style w:type="character" w:customStyle="1" w:styleId="10">
    <w:name w:val="font01"/>
    <w:basedOn w:val="8"/>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2025-09-03T03:01:00Z</dcterms:created>
  <dc:creator>杜春梅</dc:creator>
  <cp:lastModifiedBy>杜春梅</cp:lastModifiedBy>
  <dcterms:modified xsi:type="dcterms:W3CDTF">2025-09-03T03:03:03Z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C28685C04A454E83B7F97462FFFC617D_13</vt:lpwstr>
  </property>
  <property fmtid="{D5CDD505-2E9C-101B-9397-08002B2CF9AE}" pid="4" name="KSOTemplateDocerSaveRecord">
    <vt:lpwstr>eyJoZGlkIjoiOGY4ODMwOWI2ZDE2OWVjY2Y4YWZhZDdhYzI3MTc2NzUiLCJ1c2VySWQiOiIxNjE0NzAwODUzIn0=</vt:lpwstr>
  </property>
</Properties>
</file>