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90"/>
        <w:tblGridChange w:id="0">
          <w:tblGrid>
            <w:gridCol w:w="6390"/>
          </w:tblGrid>
        </w:tblGridChange>
      </w:tblGrid>
      <w:tr>
        <w:trPr>
          <w:cantSplit w:val="0"/>
          <w:trHeight w:val="546.914062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Ahsanullah University of Science and Technology</w:t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Title: Object Oriented Programming Lab</w:t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Number: CSE1206</w:t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Fall 2020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Assignment: 3</w:t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Section: A2 and B1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ind w:left="720" w:right="-27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95"/>
        <w:gridCol w:w="945"/>
        <w:tblGridChange w:id="0">
          <w:tblGrid>
            <w:gridCol w:w="10095"/>
            <w:gridCol w:w="945"/>
          </w:tblGrid>
        </w:tblGridChange>
      </w:tblGrid>
      <w:tr>
        <w:trPr>
          <w:cantSplit w:val="0"/>
          <w:trHeight w:val="600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Java Project Named ‘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’. Inside the same package create a new class named ‘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Cube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’. Inside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Cube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class create 3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private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variables:</w:t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cubeColor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(String),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(double),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cubeType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(Cube)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constructor. 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second constructor which takes only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cubeColor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parameters and initializes them.</w:t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third constructor which takes only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cubeType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parameter and initializes it.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getter setter methods for only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cubeColor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variables. (No need to create a getter setter for cubeType).</w:t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public method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getArea()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whose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type is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double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and takes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parameters.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Inside the method calculate the area of the cube.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Formula: Area of Cube =</w:t>
            </w:r>
            <m:oMath>
              <m:r>
                <w:rPr>
                  <w:b w:val="1"/>
                  <w:sz w:val="24"/>
                  <w:szCs w:val="24"/>
                </w:rPr>
                <m:t xml:space="preserve">6 x </m:t>
              </m:r>
              <m:sSup>
                <m:sSupPr>
                  <m:ctrlPr>
                    <w:rPr>
                      <w:b w:val="1"/>
                      <w:sz w:val="24"/>
                      <w:szCs w:val="24"/>
                    </w:rPr>
                  </m:ctrlPr>
                </m:sSupPr>
                <m:e>
                  <m:r>
                    <w:rPr>
                      <w:b w:val="1"/>
                      <w:sz w:val="24"/>
                      <w:szCs w:val="24"/>
                    </w:rPr>
                    <m:t xml:space="preserve">(Edge)</m:t>
                  </m:r>
                </m:e>
                <m:sup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another method named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compareCube()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whose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type is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and takes 1 parameter of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Cube class.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You can name the variable according to your wish.</w:t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Inside the method do the following:</w:t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Call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getArea()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methods for two Cube objects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current class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object and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object)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out the percentage area of both objects in the following way:</w:t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Take the last 2 digits of your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Apply that as percent to the cube area.</w:t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76" w:lineRule="auto"/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Suppose the last 2 digits of your ID are 26. Take 26% area from the Cube.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You must do the calculation in your code.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76" w:lineRule="auto"/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276" w:lineRule="auto"/>
              <w:ind w:left="360" w:firstLine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(Tip: if you get zero as answer while converting to percentage, use 26.0 or 100.0 for calculation)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76" w:lineRule="auto"/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276" w:lineRule="auto"/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if the area of the 1st cube  is 100.0 and the 2nd cube is 50.0. </w:t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276" w:lineRule="auto"/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Then percentage will be: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276" w:lineRule="auto"/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276" w:lineRule="auto"/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Cube One Area Percentage  = 26.0 and and cube Two Area Percentage  =  13.0</w:t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276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Now compare the cube Area Percentages and cube Colors of the two cubes.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If all match then print: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“Cubes are identical”</w:t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76" w:lineRule="auto"/>
              <w:ind w:firstLine="27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Otherwise print: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“Cubes are different” 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Inside the Box class, there will be the main method. Inside the main method, create objects of Class Cube. Create objects as many as you want. </w:t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 values according to your choice using the parameterized constructor or setters, whichever you prefer.</w:t>
            </w:r>
          </w:p>
          <w:p w:rsidR="00000000" w:rsidDel="00000000" w:rsidP="00000000" w:rsidRDefault="00000000" w:rsidRPr="00000000" w14:paraId="00000031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Now call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compareCube()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 to compare the cubes. Also print the cubeColors and cube Areas of the compared cubes.</w:t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should show both cases, That is, whether cubes are identical or different. </w:t>
            </w:r>
          </w:p>
          <w:p w:rsidR="00000000" w:rsidDel="00000000" w:rsidP="00000000" w:rsidRDefault="00000000" w:rsidRPr="00000000" w14:paraId="00000035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this as per your choice. </w:t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76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76" w:lineRule="auto"/>
              <w:ind w:left="360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(Do not copy the codes from each other. The main method will be different if you do it yourself. If I find the same objects and same value assignments here then I’ll deduct marks).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Best of Luck to Everyone. </w:t>
      </w:r>
    </w:p>
    <w:p w:rsidR="00000000" w:rsidDel="00000000" w:rsidP="00000000" w:rsidRDefault="00000000" w:rsidRPr="00000000" w14:paraId="0000003C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Hope you all become wonderful Human Beings. </w:t>
      </w:r>
    </w:p>
    <w:p w:rsidR="00000000" w:rsidDel="00000000" w:rsidP="00000000" w:rsidRDefault="00000000" w:rsidRPr="00000000" w14:paraId="0000003D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ageBreakBefore w:val="0"/>
      <w:jc w:val="right"/>
      <w:rPr/>
    </w:pPr>
    <w:r w:rsidDel="00000000" w:rsidR="00000000" w:rsidRPr="00000000">
      <w:rPr>
        <w:rtl w:val="0"/>
      </w:rPr>
      <w:t xml:space="preserve">PTO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