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CA8"/>
          <w:sz w:val="72"/>
          <w:szCs w:val="72"/>
        </w:rPr>
        <w:t xml:space="preserve">Pocket</w:t>
      </w:r>
    </w:p>
    <w:p>
      <w:pPr>
        <w:spacing w:after="100" w:before="0"/>
        <w:jc w:val="center"/>
      </w:pPr>
      <w:r>
        <w:rPr>
          <w:rFonts w:ascii="Arial" w:cs="Arial" w:eastAsia="Arial" w:hAnsi="Arial"/>
          <w:color w:val="1A1A1A"/>
          <w:sz w:val="36"/>
          <w:szCs w:val="36"/>
        </w:rPr>
        <w:t xml:space="preserve">Competitive Audit Report</w:t>
      </w:r>
    </w:p>
    <w:p>
      <w:pPr>
        <w:pBdr>
          <w:bottom w:val="single" w:color="C5D9F1" w:sz="4" w:space="8"/>
        </w:pBdr>
        <w:spacing w:after="80" w:before="0"/>
        <w:jc w:val="center"/>
      </w:pPr>
      <w:r>
        <w:rPr>
          <w:rFonts w:ascii="Arial" w:cs="Arial" w:eastAsia="Arial" w:hAnsi="Arial"/>
          <w:i/>
          <w:iCs/>
          <w:color w:val="666666"/>
          <w:sz w:val="24"/>
          <w:szCs w:val="24"/>
        </w:rPr>
        <w:t xml:space="preserve">Personal Finance &amp; Budgeting App — Step 3: Ideate</w:t>
      </w:r>
    </w:p>
    <w:p>
      <w:pPr>
        <w:spacing w:after="0" w:before="0"/>
      </w:pPr>
      <w:r>
        <w:t xml:space="preserve"/>
      </w:r>
    </w:p>
    <w:p>
      <w:pPr>
        <w:spacing w:after="0" w:before="0"/>
      </w:pPr>
      <w:r>
        <w:t xml:space="preserve"/>
      </w:r>
    </w:p>
    <w:p>
      <w:pPr>
        <w:jc w:val="center"/>
      </w:pPr>
      <w:r>
        <w:rPr>
          <w:rFonts w:ascii="Arial" w:cs="Arial" w:eastAsia="Arial" w:hAnsi="Arial"/>
          <w:color w:val="666666"/>
          <w:sz w:val="22"/>
          <w:szCs w:val="22"/>
        </w:rPr>
        <w:t xml:space="preserve">Prepared by: Yasir Afaque   |   2026</w:t>
      </w:r>
    </w:p>
    <w:p>
      <w:r>
        <w:br w:type="page"/>
      </w:r>
    </w:p>
    <w:p>
      <w:pPr>
        <w:pBdr>
          <w:bottom w:val="single" w:color="C5D9F1" w:sz="4" w:space="4"/>
        </w:pBdr>
        <w:spacing w:after="140" w:before="320"/>
      </w:pPr>
      <w:r>
        <w:rPr>
          <w:rFonts w:ascii="Arial" w:cs="Arial" w:eastAsia="Arial" w:hAnsi="Arial"/>
          <w:b/>
          <w:bCs/>
          <w:color w:val="1A5CA8"/>
          <w:sz w:val="32"/>
          <w:szCs w:val="32"/>
        </w:rPr>
        <w:t xml:space="preserve">1.  Audit Overview</w:t>
      </w:r>
    </w:p>
    <w:p>
      <w:pPr>
        <w:spacing w:after="60" w:before="60"/>
      </w:pPr>
      <w:r>
        <w:rPr>
          <w:rFonts w:ascii="Arial" w:cs="Arial" w:eastAsia="Arial" w:hAnsi="Arial"/>
          <w:color w:val="1A1A1A"/>
          <w:sz w:val="22"/>
          <w:szCs w:val="22"/>
        </w:rPr>
        <w:t xml:space="preserve">The purpose of this competitive audit is to evaluate how existing personal finance and budgeting apps address the needs of Pocket's five target user groups. By identifying strengths, weaknesses, and gaps in the current market, this audit informs the design decisions for Pocket and highlights where it can provide a genuinely better experience.</w:t>
      </w:r>
    </w:p>
    <w:p>
      <w:pPr>
        <w:spacing w:after="0" w:before="0"/>
      </w:pPr>
      <w:r>
        <w:t xml:space="preserve"/>
      </w:r>
    </w:p>
    <w:p>
      <w:pPr>
        <w:spacing w:after="100" w:before="220"/>
      </w:pPr>
      <w:r>
        <w:rPr>
          <w:rFonts w:ascii="Arial" w:cs="Arial" w:eastAsia="Arial" w:hAnsi="Arial"/>
          <w:b/>
          <w:bCs/>
          <w:color w:val="1A1A1A"/>
          <w:sz w:val="26"/>
          <w:szCs w:val="26"/>
        </w:rPr>
        <w:t xml:space="preserve">1.1  Audit Goals</w:t>
      </w:r>
    </w:p>
    <w:p>
      <w:pPr>
        <w:pStyle w:val="ListParagraph"/>
        <w:numPr>
          <w:ilvl w:val="0"/>
          <w:numId w:val="2"/>
        </w:numPr>
        <w:spacing w:after="50" w:before="50"/>
      </w:pPr>
      <w:r>
        <w:rPr>
          <w:rFonts w:ascii="Arial" w:cs="Arial" w:eastAsia="Arial" w:hAnsi="Arial"/>
          <w:color w:val="1A1A1A"/>
          <w:sz w:val="22"/>
          <w:szCs w:val="22"/>
        </w:rPr>
        <w:t xml:space="preserve">Identify what features competitors do well that Pocket should match or exceed</w:t>
      </w:r>
    </w:p>
    <w:p>
      <w:pPr>
        <w:pStyle w:val="ListParagraph"/>
        <w:numPr>
          <w:ilvl w:val="0"/>
          <w:numId w:val="2"/>
        </w:numPr>
        <w:spacing w:after="50" w:before="50"/>
      </w:pPr>
      <w:r>
        <w:rPr>
          <w:rFonts w:ascii="Arial" w:cs="Arial" w:eastAsia="Arial" w:hAnsi="Arial"/>
          <w:color w:val="1A1A1A"/>
          <w:sz w:val="22"/>
          <w:szCs w:val="22"/>
        </w:rPr>
        <w:t xml:space="preserve">Identify critical gaps in the market that represent design opportunities for Pocket</w:t>
      </w:r>
    </w:p>
    <w:p>
      <w:pPr>
        <w:pStyle w:val="ListParagraph"/>
        <w:numPr>
          <w:ilvl w:val="0"/>
          <w:numId w:val="2"/>
        </w:numPr>
        <w:spacing w:after="50" w:before="50"/>
      </w:pPr>
      <w:r>
        <w:rPr>
          <w:rFonts w:ascii="Arial" w:cs="Arial" w:eastAsia="Arial" w:hAnsi="Arial"/>
          <w:color w:val="1A1A1A"/>
          <w:sz w:val="22"/>
          <w:szCs w:val="22"/>
        </w:rPr>
        <w:t xml:space="preserve">Understand which user types (students, freelancers, couples, retirees) are underserved</w:t>
      </w:r>
    </w:p>
    <w:p>
      <w:pPr>
        <w:pStyle w:val="ListParagraph"/>
        <w:numPr>
          <w:ilvl w:val="0"/>
          <w:numId w:val="2"/>
        </w:numPr>
        <w:spacing w:after="50" w:before="50"/>
      </w:pPr>
      <w:r>
        <w:rPr>
          <w:rFonts w:ascii="Arial" w:cs="Arial" w:eastAsia="Arial" w:hAnsi="Arial"/>
          <w:color w:val="1A1A1A"/>
          <w:sz w:val="22"/>
          <w:szCs w:val="22"/>
        </w:rPr>
        <w:t xml:space="preserve">Inform feature prioritisation for the Pocket MVP</w:t>
      </w:r>
    </w:p>
    <w:p>
      <w:pPr>
        <w:spacing w:after="0" w:before="0"/>
      </w:pPr>
      <w:r>
        <w:t xml:space="preserve"/>
      </w:r>
    </w:p>
    <w:p>
      <w:pPr>
        <w:spacing w:after="100" w:before="220"/>
      </w:pPr>
      <w:r>
        <w:rPr>
          <w:rFonts w:ascii="Arial" w:cs="Arial" w:eastAsia="Arial" w:hAnsi="Arial"/>
          <w:b/>
          <w:bCs/>
          <w:color w:val="1A1A1A"/>
          <w:sz w:val="26"/>
          <w:szCs w:val="26"/>
        </w:rPr>
        <w:t xml:space="preserve">1.2  Competitors Evaluated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Competitor</w:t>
            </w:r>
          </w:p>
        </w:tc>
        <w:tc>
          <w:tcPr>
            <w:tcW w:type="dxa" w:w="16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Price</w:t>
            </w:r>
          </w:p>
        </w:tc>
        <w:tc>
          <w:tcPr>
            <w:tcW w:type="dxa" w:w="336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Primary Audience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Mint (Intuit)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Free (ad-supported)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US adults with linked bank accounts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YNAB</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Direct</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$14.99/month or $99/year</w:t>
            </w:r>
          </w:p>
        </w:tc>
        <w:tc>
          <w:tcPr>
            <w:tcW w:type="dxa" w:w="336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Budget-focused professionals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Money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Free / one-time purchase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Asian mobile users (Taiwan, Korea)</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Spendee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Direct</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Free + Freemium</w:t>
            </w:r>
          </w:p>
        </w:tc>
        <w:tc>
          <w:tcPr>
            <w:tcW w:type="dxa" w:w="336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Lifestyle-focused young adults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Excel / Google Sheets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Power users; financially literate individuals</w:t>
            </w:r>
          </w:p>
        </w:tc>
      </w:tr>
    </w:tbl>
    <w:p>
      <w:pPr>
        <w:spacing w:after="0" w:before="0"/>
      </w:pPr>
      <w:r>
        <w:t xml:space="preserve"/>
      </w:r>
    </w:p>
    <w:p>
      <w:pPr>
        <w:spacing w:after="0" w:before="0"/>
      </w:pPr>
      <w:r>
        <w:t xml:space="preserve"/>
      </w:r>
    </w:p>
    <w:p>
      <w:r>
        <w:br w:type="page"/>
      </w:r>
    </w:p>
    <w:p>
      <w:pPr>
        <w:pBdr>
          <w:bottom w:val="single" w:color="C5D9F1" w:sz="4" w:space="4"/>
        </w:pBdr>
        <w:spacing w:after="140" w:before="320"/>
      </w:pPr>
      <w:r>
        <w:rPr>
          <w:rFonts w:ascii="Arial" w:cs="Arial" w:eastAsia="Arial" w:hAnsi="Arial"/>
          <w:b/>
          <w:bCs/>
          <w:color w:val="1A5CA8"/>
          <w:sz w:val="32"/>
          <w:szCs w:val="32"/>
        </w:rPr>
        <w:t xml:space="preserve">2.  Full Competitive Audit</w:t>
      </w:r>
    </w:p>
    <w:p>
      <w:pPr>
        <w:spacing w:after="60" w:before="60"/>
      </w:pPr>
      <w:r>
        <w:rPr>
          <w:rFonts w:ascii="Arial" w:cs="Arial" w:eastAsia="Arial" w:hAnsi="Arial"/>
          <w:color w:val="1A1A1A"/>
          <w:sz w:val="22"/>
          <w:szCs w:val="22"/>
        </w:rPr>
        <w:t xml:space="preserve">The table below rates each competitor across 14 criteria relevant to Pocket's design goals. Ratings use a three-point scale: Strong (green), Average (amber), Weak/No (red). Pocket's design goals are shown in blue.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 / Yes / Free</w:t>
            </w:r>
          </w:p>
        </w:tc>
        <w:tc>
          <w:tcPr>
            <w:tcW w:type="dxa" w:w="2340"/>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Average / Partial / Freemium</w:t>
            </w:r>
          </w:p>
        </w:tc>
        <w:tc>
          <w:tcPr>
            <w:tcW w:type="dxa" w:w="234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Weak / No / Paid only</w:t>
            </w:r>
          </w:p>
        </w:tc>
        <w:tc>
          <w:tcPr>
            <w:tcW w:type="dxa" w:w="234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center"/>
            </w:pPr>
            <w:r>
              <w:rPr>
                <w:rFonts w:ascii="Arial" w:cs="Arial" w:eastAsia="Arial" w:hAnsi="Arial"/>
                <w:b/>
                <w:bCs/>
                <w:color w:val="1A5CA8"/>
                <w:sz w:val="19"/>
                <w:szCs w:val="19"/>
              </w:rPr>
              <w:t xml:space="preserve">Goal — Pocket target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12"/>
        <w:gridCol w:w="1112"/>
        <w:gridCol w:w="1112"/>
        <w:gridCol w:w="1112"/>
        <w:gridCol w:w="2112"/>
      </w:tblGrid>
      <w:tr>
        <w:tc>
          <w:tcPr>
            <w:tcW w:type="dxa" w:w="28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1112"/>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Mint</w:t>
            </w:r>
          </w:p>
        </w:tc>
        <w:tc>
          <w:tcPr>
            <w:tcW w:type="dxa" w:w="1112"/>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YNAB</w:t>
            </w:r>
          </w:p>
        </w:tc>
        <w:tc>
          <w:tcPr>
            <w:tcW w:type="dxa" w:w="1112"/>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Money Manager</w:t>
            </w:r>
          </w:p>
        </w:tc>
        <w:tc>
          <w:tcPr>
            <w:tcW w:type="dxa" w:w="1112"/>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Spendee</w:t>
            </w:r>
          </w:p>
        </w:tc>
        <w:tc>
          <w:tcPr>
            <w:tcW w:type="dxa" w:w="2112"/>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Pocket Goal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Onboarding time</w:t>
            </w:r>
          </w:p>
        </w:tc>
        <w:tc>
          <w:tcPr>
            <w:tcW w:type="dxa" w:w="1112"/>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Average</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Weak</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Average</w:t>
            </w:r>
          </w:p>
        </w:tc>
        <w:tc>
          <w:tcPr>
            <w:tcW w:type="dxa" w:w="2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&lt; 3 min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Variable / irregular income</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Partial</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2112"/>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Visual spending dashboard</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Average</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Weak</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2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Strong</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Savings goal tracking</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Weak</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2112"/>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Strong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Couple / shared mode</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Paid only</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Paid only</w:t>
            </w:r>
          </w:p>
        </w:tc>
        <w:tc>
          <w:tcPr>
            <w:tcW w:type="dxa" w:w="2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Free tier</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Spending alerts / notifications</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2112"/>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Smart alerts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Manual / offline entry</w:t>
            </w:r>
          </w:p>
        </w:tc>
        <w:tc>
          <w:tcPr>
            <w:tcW w:type="dxa" w:w="1112"/>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Partial</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2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Yes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Free tier quality</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Freemium</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Freemium</w:t>
            </w:r>
          </w:p>
        </w:tc>
        <w:tc>
          <w:tcPr>
            <w:tcW w:type="dxa" w:w="2112"/>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Generous 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Accessibility — text &amp; UI</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Weak</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Weak</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Weak</w:t>
            </w:r>
          </w:p>
        </w:tc>
        <w:tc>
          <w:tcPr>
            <w:tcW w:type="dxa" w:w="1112"/>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Average</w:t>
            </w:r>
          </w:p>
        </w:tc>
        <w:tc>
          <w:tcPr>
            <w:tcW w:type="dxa" w:w="2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Strong</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Student / allowance mode</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Partial</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2112"/>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Export / reporting</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Weak</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2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PDF export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Month-on-month comparison</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Strong</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Partial</w:t>
            </w:r>
          </w:p>
        </w:tc>
        <w:tc>
          <w:tcPr>
            <w:tcW w:type="dxa" w:w="2112"/>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Fixed income / retirement mode</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1112"/>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pPr>
              <w:jc w:val="center"/>
            </w:pPr>
            <w:r>
              <w:rPr>
                <w:rFonts w:ascii="Arial" w:cs="Arial" w:eastAsia="Arial" w:hAnsi="Arial"/>
                <w:b/>
                <w:bCs/>
                <w:color w:val="C0392B"/>
                <w:sz w:val="19"/>
                <w:szCs w:val="19"/>
              </w:rPr>
              <w:t xml:space="preserve">No</w:t>
            </w:r>
          </w:p>
        </w:tc>
        <w:tc>
          <w:tcPr>
            <w:tcW w:type="dxa" w:w="2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Yes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Platform availability</w:t>
            </w:r>
          </w:p>
        </w:tc>
        <w:tc>
          <w:tcPr>
            <w:tcW w:type="dxa" w:w="1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1A1A"/>
                <w:sz w:val="19"/>
                <w:szCs w:val="19"/>
              </w:rPr>
              <w:t xml:space="preserve">Web + Mobile</w:t>
            </w:r>
          </w:p>
        </w:tc>
        <w:tc>
          <w:tcPr>
            <w:tcW w:type="dxa" w:w="1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1A1A"/>
                <w:sz w:val="19"/>
                <w:szCs w:val="19"/>
              </w:rPr>
              <w:t xml:space="preserve">Web + Mobile</w:t>
            </w:r>
          </w:p>
        </w:tc>
        <w:tc>
          <w:tcPr>
            <w:tcW w:type="dxa" w:w="1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1A1A"/>
                <w:sz w:val="19"/>
                <w:szCs w:val="19"/>
              </w:rPr>
              <w:t xml:space="preserve">Mobile only</w:t>
            </w:r>
          </w:p>
        </w:tc>
        <w:tc>
          <w:tcPr>
            <w:tcW w:type="dxa" w:w="1112"/>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1A1A"/>
                <w:sz w:val="19"/>
                <w:szCs w:val="19"/>
              </w:rPr>
              <w:t xml:space="preserve">Mobile + Web</w:t>
            </w:r>
          </w:p>
        </w:tc>
        <w:tc>
          <w:tcPr>
            <w:tcW w:type="dxa" w:w="2112"/>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B05000"/>
                <w:sz w:val="19"/>
                <w:szCs w:val="19"/>
              </w:rPr>
              <w:t xml:space="preserve">Goal: Web + Mobile</w:t>
            </w:r>
          </w:p>
        </w:tc>
      </w:tr>
    </w:tbl>
    <w:p>
      <w:pPr>
        <w:spacing w:after="0" w:before="0"/>
      </w:pPr>
      <w:r>
        <w:t xml:space="preserve"/>
      </w:r>
    </w:p>
    <w:p>
      <w:pPr>
        <w:spacing w:after="0" w:before="0"/>
      </w:pPr>
      <w:r>
        <w:t xml:space="preserve"/>
      </w:r>
    </w:p>
    <w:p>
      <w:r>
        <w:br w:type="page"/>
      </w:r>
    </w:p>
    <w:p>
      <w:pPr>
        <w:pBdr>
          <w:bottom w:val="single" w:color="C5D9F1" w:sz="4" w:space="4"/>
        </w:pBdr>
        <w:spacing w:after="140" w:before="320"/>
      </w:pPr>
      <w:r>
        <w:rPr>
          <w:rFonts w:ascii="Arial" w:cs="Arial" w:eastAsia="Arial" w:hAnsi="Arial"/>
          <w:b/>
          <w:bCs/>
          <w:color w:val="1A5CA8"/>
          <w:sz w:val="32"/>
          <w:szCs w:val="32"/>
        </w:rPr>
        <w:t xml:space="preserve">3.  Competitor Profiles</w:t>
      </w:r>
    </w:p>
    <w:p>
      <w:pPr>
        <w:spacing w:after="0" w:before="0"/>
      </w:pPr>
      <w:r>
        <w:t xml:space="preserve"/>
      </w:r>
    </w:p>
    <w:p>
      <w:pPr>
        <w:spacing w:after="100" w:before="220"/>
      </w:pPr>
      <w:r>
        <w:rPr>
          <w:rFonts w:ascii="Arial" w:cs="Arial" w:eastAsia="Arial" w:hAnsi="Arial"/>
          <w:b/>
          <w:bCs/>
          <w:color w:val="1A1A1A"/>
          <w:sz w:val="26"/>
          <w:szCs w:val="26"/>
        </w:rPr>
        <w:t xml:space="preserve">3.1  Mint (Intuit)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Direct competitor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Price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Free (supported by ads)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US adults with bank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Strength</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Automatic bank syncing and transaction categorisation are best in class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Weakness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Ad-heavy experience; US-centric; no student, freelance, or retirement mode; requires bank link to function</w:t>
            </w:r>
          </w:p>
        </w:tc>
      </w:tr>
    </w:tbl>
    <w:p>
      <w:pPr>
        <w:spacing w:after="0" w:before="0"/>
      </w:pPr>
      <w:r>
        <w:t xml:space="preserve"/>
      </w:r>
    </w:p>
    <w:p>
      <w:pPr>
        <w:spacing w:after="100" w:before="220"/>
      </w:pPr>
      <w:r>
        <w:rPr>
          <w:rFonts w:ascii="Arial" w:cs="Arial" w:eastAsia="Arial" w:hAnsi="Arial"/>
          <w:b/>
          <w:bCs/>
          <w:color w:val="1A1A1A"/>
          <w:sz w:val="26"/>
          <w:szCs w:val="26"/>
        </w:rPr>
        <w:t xml:space="preserve">3.2  YNAB (You Need A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Direct competitor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Price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$14.99/month or $99/year — no free plan</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Budget-focused professionals willing to pay for a premium tool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Strength</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Zero-based budgeting methodology is highly effective; strong educational community and resources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Weakness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Expensive with no free tier; steep 18-minute average onboarding; overwhelming for casual users; poor accessibility</w:t>
            </w:r>
          </w:p>
        </w:tc>
      </w:tr>
    </w:tbl>
    <w:p>
      <w:pPr>
        <w:spacing w:after="0" w:before="0"/>
      </w:pPr>
      <w:r>
        <w:t xml:space="preserve"/>
      </w:r>
    </w:p>
    <w:p>
      <w:pPr>
        <w:spacing w:after="100" w:before="220"/>
      </w:pPr>
      <w:r>
        <w:rPr>
          <w:rFonts w:ascii="Arial" w:cs="Arial" w:eastAsia="Arial" w:hAnsi="Arial"/>
          <w:b/>
          <w:bCs/>
          <w:color w:val="1A1A1A"/>
          <w:sz w:val="26"/>
          <w:szCs w:val="26"/>
        </w:rPr>
        <w:t xml:space="preserve">3.3  Money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Direct competitor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Price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Free with optional one-time purchase</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Mobile-first users in Asia (Taiwan, South Korea, Japan)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Strength</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Fastest manual expense entry of all competitors; very low barrier to start</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Weakness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No bank sync; no savings goals; no alerts; analytics are basic; no shared or couple mode; limited export</w:t>
            </w:r>
          </w:p>
        </w:tc>
      </w:tr>
    </w:tbl>
    <w:p>
      <w:pPr>
        <w:spacing w:after="0" w:before="0"/>
      </w:pPr>
      <w:r>
        <w:t xml:space="preserve"/>
      </w:r>
    </w:p>
    <w:p>
      <w:pPr>
        <w:spacing w:after="100" w:before="220"/>
      </w:pPr>
      <w:r>
        <w:rPr>
          <w:rFonts w:ascii="Arial" w:cs="Arial" w:eastAsia="Arial" w:hAnsi="Arial"/>
          <w:b/>
          <w:bCs/>
          <w:color w:val="1A1A1A"/>
          <w:sz w:val="26"/>
          <w:szCs w:val="26"/>
        </w:rPr>
        <w:t xml:space="preserve">3.4  Spendee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Direct competitor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Price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Free tier + premium subscription (shared wallets locked behind paywall)</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Lifestyle-focused young adults and travellers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Strength</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Modern, attractive UI; travel wallet feature; good visual design for categories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Weakness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Core features paywalled; limited analytics on free tier; no student/retirement mode</w:t>
            </w:r>
          </w:p>
        </w:tc>
      </w:tr>
    </w:tbl>
    <w:p>
      <w:pPr>
        <w:spacing w:after="0" w:before="0"/>
      </w:pPr>
      <w:r>
        <w:t xml:space="preserve"/>
      </w:r>
    </w:p>
    <w:p>
      <w:pPr>
        <w:spacing w:after="100" w:before="220"/>
      </w:pPr>
      <w:r>
        <w:rPr>
          <w:rFonts w:ascii="Arial" w:cs="Arial" w:eastAsia="Arial" w:hAnsi="Arial"/>
          <w:b/>
          <w:bCs/>
          <w:color w:val="1A1A1A"/>
          <w:sz w:val="26"/>
          <w:szCs w:val="26"/>
        </w:rPr>
        <w:t xml:space="preserve">3.5  Excel / Google Sheets (Indirect)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Indirect competitor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Price</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Free (Google Sheets) / Microsoft 365 subscription</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Financially literate power users; professionals who enjoy customisation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5CA8"/>
                <w:sz w:val="19"/>
                <w:szCs w:val="19"/>
              </w:rPr>
              <w:t xml:space="preserve">Strength</w:t>
            </w:r>
          </w:p>
        </w:tc>
        <w:tc>
          <w:tcPr>
            <w:tcW w:type="dxa" w:w="696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Complete flexibility; no subscription for Google Sheets; already familiar to most users</w:t>
            </w:r>
          </w:p>
        </w:tc>
      </w:tr>
      <w:tr>
        <w:tc>
          <w:tcPr>
            <w:tcW w:type="dxa" w:w="2400"/>
            <w:tcBorders>
              <w:top w:val="single" w:color="CCCCCC" w:sz="1"/>
              <w:left w:val="single" w:color="CCCCCC" w:sz="1"/>
              <w:bottom w:val="single" w:color="CCCCCC" w:sz="1"/>
              <w:right w:val="single" w:color="CCCCCC" w:sz="1"/>
            </w:tcBorders>
            <w:shd w:fill="EBF2FB" w:val="clear"/>
            <w:tcMar>
              <w:top w:type="dxa" w:w="80"/>
              <w:left w:type="dxa" w:w="100"/>
              <w:bottom w:type="dxa" w:w="80"/>
              <w:right w:type="dxa" w:w="100"/>
            </w:tcMar>
          </w:tcPr>
          <w:p>
            <w:pPr>
              <w:jc w:val="left"/>
            </w:pPr>
            <w:r>
              <w:rPr>
                <w:rFonts w:ascii="Arial" w:cs="Arial" w:eastAsia="Arial" w:hAnsi="Arial"/>
                <w:b/>
                <w:bCs/>
                <w:color w:val="1A5CA8"/>
                <w:sz w:val="19"/>
                <w:szCs w:val="19"/>
              </w:rPr>
              <w:t xml:space="preserve">Weakness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High maintenance burden; no mobile-first design; no automatic alerts; no savings goal tracking; breaks down quickly without discipline</w:t>
            </w:r>
          </w:p>
        </w:tc>
      </w:tr>
    </w:tbl>
    <w:p>
      <w:pPr>
        <w:spacing w:after="0" w:before="0"/>
      </w:pPr>
      <w:r>
        <w:t xml:space="preserve"/>
      </w:r>
    </w:p>
    <w:p>
      <w:pPr>
        <w:spacing w:after="0" w:before="0"/>
      </w:pPr>
      <w:r>
        <w:t xml:space="preserve"/>
      </w:r>
    </w:p>
    <w:p>
      <w:r>
        <w:br w:type="page"/>
      </w:r>
    </w:p>
    <w:p>
      <w:pPr>
        <w:pBdr>
          <w:bottom w:val="single" w:color="C5D9F1" w:sz="4" w:space="4"/>
        </w:pBdr>
        <w:spacing w:after="140" w:before="320"/>
      </w:pPr>
      <w:r>
        <w:rPr>
          <w:rFonts w:ascii="Arial" w:cs="Arial" w:eastAsia="Arial" w:hAnsi="Arial"/>
          <w:b/>
          <w:bCs/>
          <w:color w:val="1A5CA8"/>
          <w:sz w:val="32"/>
          <w:szCs w:val="32"/>
        </w:rPr>
        <w:t xml:space="preserve">4.  Market Gaps &amp; Design Opportunities</w:t>
      </w:r>
    </w:p>
    <w:p>
      <w:pPr>
        <w:spacing w:after="60" w:before="60"/>
      </w:pPr>
      <w:r>
        <w:rPr>
          <w:rFonts w:ascii="Arial" w:cs="Arial" w:eastAsia="Arial" w:hAnsi="Arial"/>
          <w:color w:val="1A1A1A"/>
          <w:sz w:val="22"/>
          <w:szCs w:val="22"/>
        </w:rPr>
        <w:t xml:space="preserve">Based on the audit, five major gaps emerge consistently across all competitors. These gaps directly inform the feature set and design priorities for Pocket.</w:t>
      </w:r>
    </w:p>
    <w:p>
      <w:pPr>
        <w:spacing w:after="0" w:before="0"/>
      </w:pPr>
      <w:r>
        <w:t xml:space="preserve"/>
      </w:r>
    </w:p>
    <w:p>
      <w:pPr>
        <w:spacing w:after="100" w:before="220"/>
      </w:pPr>
      <w:r>
        <w:rPr>
          <w:rFonts w:ascii="Arial" w:cs="Arial" w:eastAsia="Arial" w:hAnsi="Arial"/>
          <w:b/>
          <w:bCs/>
          <w:color w:val="1A1A1A"/>
          <w:sz w:val="26"/>
          <w:szCs w:val="26"/>
        </w:rPr>
        <w:t xml:space="preserve">Gap 1 — No app supports variable or irregular income as a core feature</w:t>
      </w:r>
    </w:p>
    <w:p>
      <w:pPr>
        <w:pBdr>
          <w:left w:val="single" w:color="1A5CA8" w:sz="12" w:space="8"/>
        </w:pBdr>
        <w:shd w:fill="EBF2FB" w:val="clear"/>
        <w:spacing w:after="80" w:before="80"/>
      </w:pPr>
      <w:r>
        <w:rPr>
          <w:rFonts w:ascii="Arial" w:cs="Arial" w:eastAsia="Arial" w:hAnsi="Arial"/>
          <w:color w:val="1A1A1A"/>
          <w:sz w:val="22"/>
          <w:szCs w:val="22"/>
        </w:rPr>
        <w:t xml:space="preserve">Students and freelancers are the fastest-growing segment of personal finance app users, yet every competitor assumes a fixed monthly salary. Pocket's income mode selector (Salary / Allowance / Freelance / Pension) is the single most differentiated feature in the market.</w:t>
      </w:r>
    </w:p>
    <w:p>
      <w:pPr>
        <w:spacing w:after="0" w:before="0"/>
      </w:pPr>
      <w:r>
        <w:t xml:space="preserve"/>
      </w:r>
    </w:p>
    <w:p>
      <w:pPr>
        <w:spacing w:after="100" w:before="220"/>
      </w:pPr>
      <w:r>
        <w:rPr>
          <w:rFonts w:ascii="Arial" w:cs="Arial" w:eastAsia="Arial" w:hAnsi="Arial"/>
          <w:b/>
          <w:bCs/>
          <w:color w:val="1A1A1A"/>
          <w:sz w:val="26"/>
          <w:szCs w:val="26"/>
        </w:rPr>
        <w:t xml:space="preserve">Gap 2 — Shared budgeting is locked behind a paywall everywhere</w:t>
      </w:r>
    </w:p>
    <w:p>
      <w:pPr>
        <w:pBdr>
          <w:left w:val="single" w:color="1A6B3A" w:sz="12" w:space="8"/>
        </w:pBdr>
        <w:shd w:fill="E8F5EE" w:val="clear"/>
        <w:spacing w:after="80" w:before="80"/>
      </w:pPr>
      <w:r>
        <w:rPr>
          <w:rFonts w:ascii="Arial" w:cs="Arial" w:eastAsia="Arial" w:hAnsi="Arial"/>
          <w:color w:val="1A1A1A"/>
          <w:sz w:val="22"/>
          <w:szCs w:val="22"/>
        </w:rPr>
        <w:t xml:space="preserve">Both YNAB and Spendee offer couple/shared modes only as premium features. This is a significant barrier for the couples segment (Ravi &amp; Priya persona). Pocket will offer shared budget as a free feature — this alone differentiates it from all direct competitors.</w:t>
      </w:r>
    </w:p>
    <w:p>
      <w:pPr>
        <w:spacing w:after="0" w:before="0"/>
      </w:pPr>
      <w:r>
        <w:t xml:space="preserve"/>
      </w:r>
    </w:p>
    <w:p>
      <w:pPr>
        <w:spacing w:after="100" w:before="220"/>
      </w:pPr>
      <w:r>
        <w:rPr>
          <w:rFonts w:ascii="Arial" w:cs="Arial" w:eastAsia="Arial" w:hAnsi="Arial"/>
          <w:b/>
          <w:bCs/>
          <w:color w:val="1A1A1A"/>
          <w:sz w:val="26"/>
          <w:szCs w:val="26"/>
        </w:rPr>
        <w:t xml:space="preserve">Gap 3 — Spending alerts are passive and unhelpful</w:t>
      </w:r>
    </w:p>
    <w:p>
      <w:pPr>
        <w:pBdr>
          <w:left w:val="single" w:color="B05000" w:sz="12" w:space="8"/>
        </w:pBdr>
        <w:shd w:fill="FEF3E2" w:val="clear"/>
        <w:spacing w:after="80" w:before="80"/>
      </w:pPr>
      <w:r>
        <w:rPr>
          <w:rFonts w:ascii="Arial" w:cs="Arial" w:eastAsia="Arial" w:hAnsi="Arial"/>
          <w:color w:val="1A1A1A"/>
          <w:sz w:val="22"/>
          <w:szCs w:val="22"/>
        </w:rPr>
        <w:t xml:space="preserve">Every competitor that has alerts sends a notification saying 'you have spent 80% of your food budget'. None suggest what to do next. Pocket's smart alert system adds a contextual suggested action: 'At this rate you will exceed your food budget by Friday — would you like to adjust?'</w:t>
      </w:r>
    </w:p>
    <w:p>
      <w:pPr>
        <w:spacing w:after="0" w:before="0"/>
      </w:pPr>
      <w:r>
        <w:t xml:space="preserve"/>
      </w:r>
    </w:p>
    <w:p>
      <w:pPr>
        <w:spacing w:after="100" w:before="220"/>
      </w:pPr>
      <w:r>
        <w:rPr>
          <w:rFonts w:ascii="Arial" w:cs="Arial" w:eastAsia="Arial" w:hAnsi="Arial"/>
          <w:b/>
          <w:bCs/>
          <w:color w:val="1A1A1A"/>
          <w:sz w:val="26"/>
          <w:szCs w:val="26"/>
        </w:rPr>
        <w:t xml:space="preserve">Gap 4 — Accessibility is an afterthought across all competitors</w:t>
      </w:r>
    </w:p>
    <w:p>
      <w:pPr>
        <w:pBdr>
          <w:left w:val="single" w:color="1A6B3A" w:sz="12" w:space="8"/>
        </w:pBdr>
        <w:shd w:fill="E8F5EE" w:val="clear"/>
        <w:spacing w:after="80" w:before="80"/>
      </w:pPr>
      <w:r>
        <w:rPr>
          <w:rFonts w:ascii="Arial" w:cs="Arial" w:eastAsia="Arial" w:hAnsi="Arial"/>
          <w:color w:val="1A1A1A"/>
          <w:sz w:val="22"/>
          <w:szCs w:val="22"/>
        </w:rPr>
        <w:t xml:space="preserve">Every competitor scored Weak or Average on accessibility. Small text sizes, dense dashboards, and complex navigation exclude older users and those with lower digital literacy. Pocket's accessibility-first design (14px minimum body text, high contrast, large tap targets) directly addresses the Eleanor persona and sets a higher standard.</w:t>
      </w:r>
    </w:p>
    <w:p>
      <w:pPr>
        <w:spacing w:after="0" w:before="0"/>
      </w:pPr>
      <w:r>
        <w:t xml:space="preserve"/>
      </w:r>
    </w:p>
    <w:p>
      <w:pPr>
        <w:spacing w:after="100" w:before="220"/>
      </w:pPr>
      <w:r>
        <w:rPr>
          <w:rFonts w:ascii="Arial" w:cs="Arial" w:eastAsia="Arial" w:hAnsi="Arial"/>
          <w:b/>
          <w:bCs/>
          <w:color w:val="1A1A1A"/>
          <w:sz w:val="26"/>
          <w:szCs w:val="26"/>
        </w:rPr>
        <w:t xml:space="preserve">Gap 5 — No competitor addresses retirement or fixed-income budgeting</w:t>
      </w:r>
    </w:p>
    <w:p>
      <w:pPr>
        <w:pBdr>
          <w:left w:val="single" w:color="1A5CA8" w:sz="12" w:space="8"/>
        </w:pBdr>
        <w:shd w:fill="EBF2FB" w:val="clear"/>
        <w:spacing w:after="80" w:before="80"/>
      </w:pPr>
      <w:r>
        <w:rPr>
          <w:rFonts w:ascii="Arial" w:cs="Arial" w:eastAsia="Arial" w:hAnsi="Arial"/>
          <w:color w:val="1A1A1A"/>
          <w:sz w:val="22"/>
          <w:szCs w:val="22"/>
        </w:rPr>
        <w:t xml:space="preserve">The retiree demographic is entirely invisible in the current market. The Eleanor persona — managing a finite pension — has no product that speaks to her reality. Pocket's savings runway calculator ('your savings will last X months at your current spending rate') is a completely new feature in this category.</w:t>
      </w:r>
    </w:p>
    <w:p>
      <w:pPr>
        <w:spacing w:after="0" w:before="0"/>
      </w:pPr>
      <w:r>
        <w:t xml:space="preserve"/>
      </w:r>
    </w:p>
    <w:p>
      <w:pPr>
        <w:spacing w:after="100" w:before="220"/>
      </w:pPr>
      <w:r>
        <w:rPr>
          <w:rFonts w:ascii="Arial" w:cs="Arial" w:eastAsia="Arial" w:hAnsi="Arial"/>
          <w:b/>
          <w:bCs/>
          <w:color w:val="1A1A1A"/>
          <w:sz w:val="26"/>
          <w:szCs w:val="26"/>
        </w:rPr>
        <w:t xml:space="preserve">4.1  Priority Matrix</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c>
          <w:tcPr>
            <w:tcW w:type="dxa" w:w="36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Design Opportunity</w:t>
            </w:r>
          </w:p>
        </w:tc>
        <w:tc>
          <w:tcPr>
            <w:tcW w:type="dxa" w:w="260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c>
          <w:tcPr>
            <w:tcW w:type="dxa" w:w="3160"/>
            <w:tcBorders>
              <w:top w:val="single" w:color="CCCCCC" w:sz="1"/>
              <w:left w:val="single" w:color="CCCCCC" w:sz="1"/>
              <w:bottom w:val="single" w:color="CCCCCC" w:sz="1"/>
              <w:right w:val="single" w:color="CCCCCC" w:sz="1"/>
            </w:tcBorders>
            <w:shd w:fill="1A5C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Addresses Gap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Income mode selector (4 modes)</w:t>
            </w:r>
          </w:p>
        </w:tc>
        <w:tc>
          <w:tcPr>
            <w:tcW w:type="dxa" w:w="260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Gap 1 — variable income</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Two-tap expense entry</w:t>
            </w:r>
          </w:p>
        </w:tc>
        <w:tc>
          <w:tcPr>
            <w:tcW w:type="dxa" w:w="260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High</w:t>
            </w:r>
          </w:p>
        </w:tc>
        <w:tc>
          <w:tcPr>
            <w:tcW w:type="dxa" w:w="316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Gap 3 — passive alerts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Smart contextual alerts</w:t>
            </w:r>
          </w:p>
        </w:tc>
        <w:tc>
          <w:tcPr>
            <w:tcW w:type="dxa" w:w="260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Gap 3 — passive alerts</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Shared budget as free feature</w:t>
            </w:r>
          </w:p>
        </w:tc>
        <w:tc>
          <w:tcPr>
            <w:tcW w:type="dxa" w:w="260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High</w:t>
            </w:r>
          </w:p>
        </w:tc>
        <w:tc>
          <w:tcPr>
            <w:tcW w:type="dxa" w:w="316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Gap 2 — paywall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Weekly budget mode for students</w:t>
            </w:r>
          </w:p>
        </w:tc>
        <w:tc>
          <w:tcPr>
            <w:tcW w:type="dxa" w:w="260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Gap 1 — variable income</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Accessibility-first design</w:t>
            </w:r>
          </w:p>
        </w:tc>
        <w:tc>
          <w:tcPr>
            <w:tcW w:type="dxa" w:w="260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100"/>
            </w:tcMar>
          </w:tcPr>
          <w:p>
            <w:pPr>
              <w:jc w:val="center"/>
            </w:pPr>
            <w:r>
              <w:rPr>
                <w:rFonts w:ascii="Arial" w:cs="Arial" w:eastAsia="Arial" w:hAnsi="Arial"/>
                <w:b/>
                <w:bCs/>
                <w:color w:val="1A6B3A"/>
                <w:sz w:val="19"/>
                <w:szCs w:val="19"/>
              </w:rPr>
              <w:t xml:space="preserve">High</w:t>
            </w:r>
          </w:p>
        </w:tc>
        <w:tc>
          <w:tcPr>
            <w:tcW w:type="dxa" w:w="316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Gap 4 — accessibility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Savings runway calculator</w:t>
            </w:r>
          </w:p>
        </w:tc>
        <w:tc>
          <w:tcPr>
            <w:tcW w:type="dxa" w:w="2600"/>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Gap 5 — retirement</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Month-on-month category comparison</w:t>
            </w:r>
          </w:p>
        </w:tc>
        <w:tc>
          <w:tcPr>
            <w:tcW w:type="dxa" w:w="2600"/>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Medium</w:t>
            </w:r>
          </w:p>
        </w:tc>
        <w:tc>
          <w:tcPr>
            <w:tcW w:type="dxa" w:w="316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Market standard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bCs/>
                <w:color w:val="1A1A1A"/>
                <w:sz w:val="19"/>
                <w:szCs w:val="19"/>
              </w:rPr>
              <w:t xml:space="preserve">One-tap PDF summary export</w:t>
            </w:r>
          </w:p>
        </w:tc>
        <w:tc>
          <w:tcPr>
            <w:tcW w:type="dxa" w:w="2600"/>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Gap 4 — older users</w:t>
            </w:r>
          </w:p>
        </w:tc>
      </w:tr>
      <w:tr>
        <w:tc>
          <w:tcPr>
            <w:tcW w:type="dxa" w:w="3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bCs/>
                <w:color w:val="1A1A1A"/>
                <w:sz w:val="19"/>
                <w:szCs w:val="19"/>
              </w:rPr>
              <w:t xml:space="preserve">Offline-first manual entry</w:t>
            </w:r>
          </w:p>
        </w:tc>
        <w:tc>
          <w:tcPr>
            <w:tcW w:type="dxa" w:w="2600"/>
            <w:tcBorders>
              <w:top w:val="single" w:color="CCCCCC" w:sz="1"/>
              <w:left w:val="single" w:color="CCCCCC" w:sz="1"/>
              <w:bottom w:val="single" w:color="CCCCCC" w:sz="1"/>
              <w:right w:val="single" w:color="CCCCCC" w:sz="1"/>
            </w:tcBorders>
            <w:shd w:fill="FEF3E2" w:val="clear"/>
            <w:tcMar>
              <w:top w:type="dxa" w:w="80"/>
              <w:left w:type="dxa" w:w="100"/>
              <w:bottom w:type="dxa" w:w="80"/>
              <w:right w:type="dxa" w:w="100"/>
            </w:tcMar>
          </w:tcPr>
          <w:p>
            <w:pPr>
              <w:jc w:val="center"/>
            </w:pPr>
            <w:r>
              <w:rPr>
                <w:rFonts w:ascii="Arial" w:cs="Arial" w:eastAsia="Arial" w:hAnsi="Arial"/>
                <w:b/>
                <w:bCs/>
                <w:color w:val="B05000"/>
                <w:sz w:val="19"/>
                <w:szCs w:val="19"/>
              </w:rPr>
              <w:t xml:space="preserve">Medium</w:t>
            </w:r>
          </w:p>
        </w:tc>
        <w:tc>
          <w:tcPr>
            <w:tcW w:type="dxa" w:w="316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Gap 1 — no bank link required</w:t>
            </w:r>
          </w:p>
        </w:tc>
      </w:tr>
    </w:tbl>
    <w:p>
      <w:pPr>
        <w:spacing w:after="0" w:before="0"/>
      </w:pPr>
      <w:r>
        <w:t xml:space="preserve"/>
      </w:r>
    </w:p>
    <w:p>
      <w:pPr>
        <w:spacing w:after="0" w:before="0"/>
      </w:pPr>
      <w:r>
        <w:t xml:space="preserve"/>
      </w:r>
    </w:p>
    <w:p>
      <w:pPr>
        <w:pBdr>
          <w:top w:val="single" w:color="C5D9F1" w:sz="3" w:space="8"/>
        </w:pBdr>
        <w:spacing w:after="80" w:before="200"/>
        <w:jc w:val="center"/>
      </w:pPr>
      <w:r>
        <w:rPr>
          <w:rFonts w:ascii="Arial" w:cs="Arial" w:eastAsia="Arial" w:hAnsi="Arial"/>
          <w:i/>
          <w:iCs/>
          <w:color w:val="666666"/>
          <w:sz w:val="18"/>
          <w:szCs w:val="18"/>
        </w:rPr>
        <w:t xml:space="preserve">Pocket Competitive Audit Report — Yasir Afaque —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9F1" w:sz="3" w:space="3"/>
      </w:pBdr>
      <w:spacing w:before="80"/>
    </w:pPr>
    <w:r>
      <w:rPr>
        <w:rFonts w:ascii="Arial" w:cs="Arial" w:eastAsia="Arial" w:hAnsi="Arial"/>
        <w:color w:val="666666"/>
        <w:sz w:val="18"/>
        <w:szCs w:val="18"/>
      </w:rPr>
      <w:t xml:space="preserve">Pocket — Competitive Audit Report  |  Yasir Afaque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9F1" w:sz="3" w:space="3"/>
      </w:pBdr>
      <w:spacing w:after="80"/>
    </w:pPr>
    <w:r>
      <w:rPr>
        <w:rFonts w:ascii="Arial" w:cs="Arial" w:eastAsia="Arial" w:hAnsi="Arial"/>
        <w:color w:val="666666"/>
        <w:sz w:val="18"/>
        <w:szCs w:val="18"/>
      </w:rPr>
      <w:t xml:space="preserve">Pocket — Competitive Audit Report  |  Yasir Afaque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5CA8"/>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2026-04-10T11:17:55.963Z</dcterms:created>
  <dcterms:modified xsi:type="dcterms:W3CDTF">2026-04-10T11:17:55.964Z</dcterms:modified>
</cp:coreProperties>
</file>

<file path=docProps/custom.xml><?xml version="1.0" encoding="utf-8"?>
<Properties xmlns="http://schemas.openxmlformats.org/officeDocument/2006/custom-properties" xmlns:vt="http://schemas.openxmlformats.org/officeDocument/2006/docPropsVTypes"/>
</file>