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5B4B8A"/>
          <w:sz w:val="52"/>
          <w:szCs w:val="52"/>
        </w:rPr>
        <w:t xml:space="preserve">MindBridge</w:t>
      </w:r>
    </w:p>
    <w:p>
      <w:pPr>
        <w:spacing w:after="60"/>
      </w:pPr>
      <w:r>
        <w:rPr>
          <w:rFonts w:ascii="Arial" w:cs="Arial" w:eastAsia="Arial" w:hAnsi="Arial"/>
          <w:b/>
          <w:bCs/>
          <w:color w:val="2D2D2D"/>
          <w:sz w:val="36"/>
          <w:szCs w:val="36"/>
        </w:rPr>
        <w:t xml:space="preserve">Competitive Audit Report</w:t>
      </w:r>
    </w:p>
    <w:p>
      <w:pPr>
        <w:spacing w:after="60"/>
      </w:pPr>
      <w:r>
        <w:rPr>
          <w:rFonts w:ascii="Arial" w:cs="Arial" w:eastAsia="Arial" w:hAnsi="Arial"/>
          <w:i/>
          <w:iCs/>
          <w:color w:val="777777"/>
          <w:sz w:val="22"/>
          <w:szCs w:val="22"/>
        </w:rPr>
        <w:t xml:space="preserve">Mental Health Peer Support App — Step 3: Ideate</w:t>
      </w:r>
    </w:p>
    <w:p>
      <w:pPr>
        <w:spacing w:after="300"/>
      </w:pPr>
      <w:r>
        <w:rPr>
          <w:rFonts w:ascii="Arial" w:cs="Arial" w:eastAsia="Arial" w:hAnsi="Arial"/>
          <w:color w:val="777777"/>
          <w:sz w:val="20"/>
          <w:szCs w:val="20"/>
        </w:rPr>
        <w:t xml:space="preserve">Prepared by: Yasir Afaque | 2026</w:t>
      </w:r>
    </w:p>
    <w:p>
      <w:pPr>
        <w:pStyle w:val="Heading1"/>
        <w:spacing w:after="160" w:before="300"/>
      </w:pPr>
      <w:r>
        <w:rPr>
          <w:rFonts w:ascii="Arial" w:cs="Arial" w:eastAsia="Arial" w:hAnsi="Arial"/>
          <w:b/>
          <w:bCs/>
          <w:color w:val="5B4B8A"/>
          <w:sz w:val="32"/>
          <w:szCs w:val="32"/>
        </w:rPr>
        <w:t xml:space="preserve">1. Audit Overview</w:t>
      </w:r>
    </w:p>
    <w:p>
      <w:pPr>
        <w:spacing w:after="120"/>
      </w:pPr>
      <w:r>
        <w:rPr>
          <w:rFonts w:ascii="Arial" w:cs="Arial" w:eastAsia="Arial" w:hAnsi="Arial"/>
          <w:sz w:val="20"/>
          <w:szCs w:val="20"/>
        </w:rPr>
        <w:t xml:space="preserve">This competitive audit evaluates how existing mental health and peer support apps address the needs of MindBridge’s five target user groups. It identifies strengths, weaknesses, and gaps in the current market to inform key design decisions.</w:t>
      </w:r>
    </w:p>
    <w:p>
      <w:pPr>
        <w:pStyle w:val="Heading2"/>
        <w:spacing w:after="120" w:before="200"/>
      </w:pPr>
      <w:r>
        <w:rPr>
          <w:rFonts w:ascii="Arial" w:cs="Arial" w:eastAsia="Arial" w:hAnsi="Arial"/>
          <w:b/>
          <w:bCs/>
          <w:color w:val="2D2D2D"/>
          <w:sz w:val="24"/>
          <w:szCs w:val="24"/>
        </w:rPr>
        <w:t xml:space="preserve">1.1 Audit Goals</w:t>
      </w:r>
    </w:p>
    <w:p>
      <w:pPr>
        <w:pStyle w:val="ListParagraph"/>
        <w:numPr>
          <w:ilvl w:val="0"/>
          <w:numId w:val="2"/>
        </w:numPr>
        <w:spacing w:after="80"/>
      </w:pPr>
      <w:r>
        <w:rPr>
          <w:rFonts w:ascii="Arial" w:cs="Arial" w:eastAsia="Arial" w:hAnsi="Arial"/>
          <w:sz w:val="20"/>
          <w:szCs w:val="20"/>
        </w:rPr>
        <w:t xml:space="preserve">Identify features competitors do well that MindBridge should match or exceed</w:t>
      </w:r>
    </w:p>
    <w:p>
      <w:pPr>
        <w:pStyle w:val="ListParagraph"/>
        <w:numPr>
          <w:ilvl w:val="0"/>
          <w:numId w:val="2"/>
        </w:numPr>
        <w:spacing w:after="80"/>
      </w:pPr>
      <w:r>
        <w:rPr>
          <w:rFonts w:ascii="Arial" w:cs="Arial" w:eastAsia="Arial" w:hAnsi="Arial"/>
          <w:sz w:val="20"/>
          <w:szCs w:val="20"/>
        </w:rPr>
        <w:t xml:space="preserve">Identify critical gaps representing design opportunities for MindBridge</w:t>
      </w:r>
    </w:p>
    <w:p>
      <w:pPr>
        <w:pStyle w:val="ListParagraph"/>
        <w:numPr>
          <w:ilvl w:val="0"/>
          <w:numId w:val="2"/>
        </w:numPr>
        <w:spacing w:after="80"/>
      </w:pPr>
      <w:r>
        <w:rPr>
          <w:rFonts w:ascii="Arial" w:cs="Arial" w:eastAsia="Arial" w:hAnsi="Arial"/>
          <w:sz w:val="20"/>
          <w:szCs w:val="20"/>
        </w:rPr>
        <w:t xml:space="preserve">Understand which user types (students, caregivers, working adults, peer supporters) are underserved</w:t>
      </w:r>
    </w:p>
    <w:p>
      <w:pPr>
        <w:pStyle w:val="ListParagraph"/>
        <w:numPr>
          <w:ilvl w:val="0"/>
          <w:numId w:val="2"/>
        </w:numPr>
        <w:spacing w:after="80"/>
      </w:pPr>
      <w:r>
        <w:rPr>
          <w:rFonts w:ascii="Arial" w:cs="Arial" w:eastAsia="Arial" w:hAnsi="Arial"/>
          <w:sz w:val="20"/>
          <w:szCs w:val="20"/>
        </w:rPr>
        <w:t xml:space="preserve">Inform feature prioritisation for the MindBridge MVP</w:t>
      </w:r>
    </w:p>
    <w:p>
      <w:pPr>
        <w:pStyle w:val="Heading2"/>
        <w:spacing w:after="120" w:before="200"/>
      </w:pPr>
      <w:r>
        <w:rPr>
          <w:rFonts w:ascii="Arial" w:cs="Arial" w:eastAsia="Arial" w:hAnsi="Arial"/>
          <w:b/>
          <w:bCs/>
          <w:color w:val="2D2D2D"/>
          <w:sz w:val="24"/>
          <w:szCs w:val="24"/>
        </w:rPr>
        <w:t xml:space="preserve">1.2 Competitors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0"/>
        <w:gridCol w:w="1400"/>
        <w:gridCol w:w="2220"/>
        <w:gridCol w:w="2000"/>
      </w:tblGrid>
      <w:tr>
        <w:tc>
          <w:tcPr>
            <w:tcW w:type="dxa" w:w="234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40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22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20"/>
                <w:szCs w:val="20"/>
              </w:rPr>
              <w:t xml:space="preserve">Primary Audience</w:t>
            </w:r>
          </w:p>
        </w:tc>
        <w:tc>
          <w:tcPr>
            <w:tcW w:type="dxa" w:w="200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20"/>
                <w:szCs w:val="20"/>
              </w:rPr>
              <w:t xml:space="preserve">Unique Strength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Calm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$69.99/yr</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General wellness, stress reduction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Premium content library, strong brand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Headspace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$69.99/yr</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Adults seeking guided meditation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Structured courses, clinical credibility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BetterHelp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$65-100/wk</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Adults seeking licensed therapy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Licensed therapist access, wide reach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7 Cups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Free + $150/mo</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Users seeking peer &amp; therapist chat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Free peer listeners, large community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Woebot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Free</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Young adults, CBT-interested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CBT-based AI chat, clinically validated</w:t>
            </w:r>
          </w:p>
        </w:tc>
      </w:tr>
    </w:tbl>
    <w:p>
      <w:pPr>
        <w:spacing w:after="200"/>
      </w:pPr>
    </w:p>
    <w:p>
      <w:pPr>
        <w:pStyle w:val="Heading1"/>
        <w:spacing w:after="160" w:before="300"/>
      </w:pPr>
      <w:r>
        <w:rPr>
          <w:rFonts w:ascii="Arial" w:cs="Arial" w:eastAsia="Arial" w:hAnsi="Arial"/>
          <w:b/>
          <w:bCs/>
          <w:color w:val="5B4B8A"/>
          <w:sz w:val="32"/>
          <w:szCs w:val="32"/>
        </w:rPr>
        <w:t xml:space="preserve">2. Full Competitive Audit</w:t>
      </w:r>
    </w:p>
    <w:p>
      <w:pPr>
        <w:spacing w:after="120"/>
      </w:pPr>
      <w:r>
        <w:rPr>
          <w:rFonts w:ascii="Arial" w:cs="Arial" w:eastAsia="Arial" w:hAnsi="Arial"/>
          <w:sz w:val="20"/>
          <w:szCs w:val="20"/>
        </w:rPr>
        <w:t xml:space="preserve">The table below rates each competitor across 12 criteria relevant to MindBridge’s design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80"/>
        <w:gridCol w:w="1380"/>
        <w:gridCol w:w="1080"/>
        <w:gridCol w:w="1080"/>
        <w:gridCol w:w="2340"/>
      </w:tblGrid>
      <w:tr>
        <w:tc>
          <w:tcPr>
            <w:tcW w:type="dxa" w:w="210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18"/>
                <w:szCs w:val="18"/>
              </w:rPr>
              <w:t xml:space="preserve">Feature / Criteria</w:t>
            </w:r>
          </w:p>
        </w:tc>
        <w:tc>
          <w:tcPr>
            <w:tcW w:type="dxa" w:w="138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18"/>
                <w:szCs w:val="18"/>
              </w:rPr>
              <w:t xml:space="preserve">Calm</w:t>
            </w:r>
          </w:p>
        </w:tc>
        <w:tc>
          <w:tcPr>
            <w:tcW w:type="dxa" w:w="138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18"/>
                <w:szCs w:val="18"/>
              </w:rPr>
              <w:t xml:space="preserve">Headspace</w:t>
            </w:r>
          </w:p>
        </w:tc>
        <w:tc>
          <w:tcPr>
            <w:tcW w:type="dxa" w:w="108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18"/>
                <w:szCs w:val="18"/>
              </w:rPr>
              <w:t xml:space="preserve">7 Cups</w:t>
            </w:r>
          </w:p>
        </w:tc>
        <w:tc>
          <w:tcPr>
            <w:tcW w:type="dxa" w:w="108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18"/>
                <w:szCs w:val="18"/>
              </w:rPr>
              <w:t xml:space="preserve">Woebot</w:t>
            </w:r>
          </w:p>
        </w:tc>
        <w:tc>
          <w:tcPr>
            <w:tcW w:type="dxa" w:w="234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18"/>
                <w:szCs w:val="18"/>
              </w:rPr>
              <w:t xml:space="preserve">MindBridge Goal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Onboarding time</w:t>
            </w:r>
          </w:p>
        </w:tc>
        <w:tc>
          <w:tcPr>
            <w:tcW w:type="dxa" w:w="138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7A5800"/>
                <w:sz w:val="17"/>
                <w:szCs w:val="17"/>
              </w:rPr>
              <w:t xml:space="preserve">Average (6 min)</w:t>
            </w:r>
          </w:p>
        </w:tc>
        <w:tc>
          <w:tcPr>
            <w:tcW w:type="dxa" w:w="138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7A5800"/>
                <w:sz w:val="17"/>
                <w:szCs w:val="17"/>
              </w:rPr>
              <w:t xml:space="preserve">Average (5 min)</w:t>
            </w:r>
          </w:p>
        </w:tc>
        <w:tc>
          <w:tcPr>
            <w:tcW w:type="dxa" w:w="108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7A5800"/>
                <w:sz w:val="17"/>
                <w:szCs w:val="17"/>
              </w:rPr>
              <w:t xml:space="preserve">Average (4 min)</w:t>
            </w:r>
          </w:p>
        </w:tc>
        <w:tc>
          <w:tcPr>
            <w:tcW w:type="dxa" w:w="10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7"/>
                <w:szCs w:val="17"/>
              </w:rPr>
              <w:t xml:space="preserve">Strong (2 min)</w:t>
            </w:r>
          </w:p>
        </w:tc>
        <w:tc>
          <w:tcPr>
            <w:tcW w:type="dxa" w:w="234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r>
              <w:rPr>
                <w:rFonts w:ascii="Arial" w:cs="Arial" w:eastAsia="Arial" w:hAnsi="Arial"/>
                <w:color w:val="1A4A7A"/>
                <w:sz w:val="17"/>
                <w:szCs w:val="17"/>
              </w:rPr>
              <w:t xml:space="preserve">Goal: &lt; 90 sec</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Anonymous access</w:t>
            </w:r>
          </w:p>
        </w:tc>
        <w:tc>
          <w:tcPr>
            <w:tcW w:type="dxa" w:w="13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 — requires account</w:t>
            </w:r>
          </w:p>
        </w:tc>
        <w:tc>
          <w:tcPr>
            <w:tcW w:type="dxa" w:w="13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 — requires account</w:t>
            </w:r>
          </w:p>
        </w:tc>
        <w:tc>
          <w:tcPr>
            <w:tcW w:type="dxa" w:w="108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7A5800"/>
                <w:sz w:val="17"/>
                <w:szCs w:val="17"/>
              </w:rPr>
              <w:t xml:space="preserve">Average — partial</w:t>
            </w:r>
          </w:p>
        </w:tc>
        <w:tc>
          <w:tcPr>
            <w:tcW w:type="dxa" w:w="10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7"/>
                <w:szCs w:val="17"/>
              </w:rPr>
              <w:t xml:space="preserve">Strong</w:t>
            </w:r>
          </w:p>
        </w:tc>
        <w:tc>
          <w:tcPr>
            <w:tcW w:type="dxa" w:w="234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r>
              <w:rPr>
                <w:rFonts w:ascii="Arial" w:cs="Arial" w:eastAsia="Arial" w:hAnsi="Arial"/>
                <w:color w:val="1A4A7A"/>
                <w:sz w:val="17"/>
                <w:szCs w:val="17"/>
              </w:rPr>
              <w:t xml:space="preserve">Goal: Anonymous default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Peer community / circles</w:t>
            </w:r>
          </w:p>
        </w:tc>
        <w:tc>
          <w:tcPr>
            <w:tcW w:type="dxa" w:w="13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 — none</w:t>
            </w:r>
          </w:p>
        </w:tc>
        <w:tc>
          <w:tcPr>
            <w:tcW w:type="dxa" w:w="13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 — none</w:t>
            </w:r>
          </w:p>
        </w:tc>
        <w:tc>
          <w:tcPr>
            <w:tcW w:type="dxa" w:w="10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7"/>
                <w:szCs w:val="17"/>
              </w:rPr>
              <w:t xml:space="preserve">Strong</w:t>
            </w:r>
          </w:p>
        </w:tc>
        <w:tc>
          <w:tcPr>
            <w:tcW w:type="dxa" w:w="10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 — none</w:t>
            </w:r>
          </w:p>
        </w:tc>
        <w:tc>
          <w:tcPr>
            <w:tcW w:type="dxa" w:w="234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r>
              <w:rPr>
                <w:rFonts w:ascii="Arial" w:cs="Arial" w:eastAsia="Arial" w:hAnsi="Arial"/>
                <w:color w:val="1A4A7A"/>
                <w:sz w:val="17"/>
                <w:szCs w:val="17"/>
              </w:rPr>
              <w:t xml:space="preserve">Goal: Moderated circles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Caregiver support</w:t>
            </w:r>
          </w:p>
        </w:tc>
        <w:tc>
          <w:tcPr>
            <w:tcW w:type="dxa" w:w="13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w:t>
            </w:r>
          </w:p>
        </w:tc>
        <w:tc>
          <w:tcPr>
            <w:tcW w:type="dxa" w:w="13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w:t>
            </w:r>
          </w:p>
        </w:tc>
        <w:tc>
          <w:tcPr>
            <w:tcW w:type="dxa" w:w="108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7A5800"/>
                <w:sz w:val="17"/>
                <w:szCs w:val="17"/>
              </w:rPr>
              <w:t xml:space="preserve">Average — partial</w:t>
            </w:r>
          </w:p>
        </w:tc>
        <w:tc>
          <w:tcPr>
            <w:tcW w:type="dxa" w:w="10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w:t>
            </w:r>
          </w:p>
        </w:tc>
        <w:tc>
          <w:tcPr>
            <w:tcW w:type="dxa" w:w="234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r>
              <w:rPr>
                <w:rFonts w:ascii="Arial" w:cs="Arial" w:eastAsia="Arial" w:hAnsi="Arial"/>
                <w:color w:val="1A4A7A"/>
                <w:sz w:val="17"/>
                <w:szCs w:val="17"/>
              </w:rPr>
              <w:t xml:space="preserve">Goal: Dedicated space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Mood tracking</w:t>
            </w:r>
          </w:p>
        </w:tc>
        <w:tc>
          <w:tcPr>
            <w:tcW w:type="dxa" w:w="138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7A5800"/>
                <w:sz w:val="17"/>
                <w:szCs w:val="17"/>
              </w:rPr>
              <w:t xml:space="preserve">Average</w:t>
            </w:r>
          </w:p>
        </w:tc>
        <w:tc>
          <w:tcPr>
            <w:tcW w:type="dxa" w:w="138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7A5800"/>
                <w:sz w:val="17"/>
                <w:szCs w:val="17"/>
              </w:rPr>
              <w:t xml:space="preserve">Average</w:t>
            </w:r>
          </w:p>
        </w:tc>
        <w:tc>
          <w:tcPr>
            <w:tcW w:type="dxa" w:w="10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w:t>
            </w:r>
          </w:p>
        </w:tc>
        <w:tc>
          <w:tcPr>
            <w:tcW w:type="dxa" w:w="10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7"/>
                <w:szCs w:val="17"/>
              </w:rPr>
              <w:t xml:space="preserve">Strong</w:t>
            </w:r>
          </w:p>
        </w:tc>
        <w:tc>
          <w:tcPr>
            <w:tcW w:type="dxa" w:w="234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r>
              <w:rPr>
                <w:rFonts w:ascii="Arial" w:cs="Arial" w:eastAsia="Arial" w:hAnsi="Arial"/>
                <w:color w:val="1A4A7A"/>
                <w:sz w:val="17"/>
                <w:szCs w:val="17"/>
              </w:rPr>
              <w:t xml:space="preserve">Goal: Flexible cadence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Crisis pathway visibility</w:t>
            </w:r>
          </w:p>
        </w:tc>
        <w:tc>
          <w:tcPr>
            <w:tcW w:type="dxa" w:w="138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7A5800"/>
                <w:sz w:val="17"/>
                <w:szCs w:val="17"/>
              </w:rPr>
              <w:t xml:space="preserve">Average</w:t>
            </w:r>
          </w:p>
        </w:tc>
        <w:tc>
          <w:tcPr>
            <w:tcW w:type="dxa" w:w="138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7A5800"/>
                <w:sz w:val="17"/>
                <w:szCs w:val="17"/>
              </w:rPr>
              <w:t xml:space="preserve">Average</w:t>
            </w:r>
          </w:p>
        </w:tc>
        <w:tc>
          <w:tcPr>
            <w:tcW w:type="dxa" w:w="10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7"/>
                <w:szCs w:val="17"/>
              </w:rPr>
              <w:t xml:space="preserve">Strong</w:t>
            </w:r>
          </w:p>
        </w:tc>
        <w:tc>
          <w:tcPr>
            <w:tcW w:type="dxa" w:w="10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7"/>
                <w:szCs w:val="17"/>
              </w:rPr>
              <w:t xml:space="preserve">Strong</w:t>
            </w:r>
          </w:p>
        </w:tc>
        <w:tc>
          <w:tcPr>
            <w:tcW w:type="dxa" w:w="234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r>
              <w:rPr>
                <w:rFonts w:ascii="Arial" w:cs="Arial" w:eastAsia="Arial" w:hAnsi="Arial"/>
                <w:color w:val="1A4A7A"/>
                <w:sz w:val="17"/>
                <w:szCs w:val="17"/>
              </w:rPr>
              <w:t xml:space="preserve">Goal: Always visible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Free tier quality</w:t>
            </w:r>
          </w:p>
        </w:tc>
        <w:tc>
          <w:tcPr>
            <w:tcW w:type="dxa" w:w="13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 — paywalled</w:t>
            </w:r>
          </w:p>
        </w:tc>
        <w:tc>
          <w:tcPr>
            <w:tcW w:type="dxa" w:w="13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 — paywalled</w:t>
            </w:r>
          </w:p>
        </w:tc>
        <w:tc>
          <w:tcPr>
            <w:tcW w:type="dxa" w:w="10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7"/>
                <w:szCs w:val="17"/>
              </w:rPr>
              <w:t xml:space="preserve">Strong — free chat</w:t>
            </w:r>
          </w:p>
        </w:tc>
        <w:tc>
          <w:tcPr>
            <w:tcW w:type="dxa" w:w="10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7"/>
                <w:szCs w:val="17"/>
              </w:rPr>
              <w:t xml:space="preserve">Strong — fully free</w:t>
            </w:r>
          </w:p>
        </w:tc>
        <w:tc>
          <w:tcPr>
            <w:tcW w:type="dxa" w:w="234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r>
              <w:rPr>
                <w:rFonts w:ascii="Arial" w:cs="Arial" w:eastAsia="Arial" w:hAnsi="Arial"/>
                <w:color w:val="1A4A7A"/>
                <w:sz w:val="17"/>
                <w:szCs w:val="17"/>
              </w:rPr>
              <w:t xml:space="preserve">Goal: Generous free tier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Peer supporter training</w:t>
            </w:r>
          </w:p>
        </w:tc>
        <w:tc>
          <w:tcPr>
            <w:tcW w:type="dxa" w:w="13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w:t>
            </w:r>
          </w:p>
        </w:tc>
        <w:tc>
          <w:tcPr>
            <w:tcW w:type="dxa" w:w="13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w:t>
            </w:r>
          </w:p>
        </w:tc>
        <w:tc>
          <w:tcPr>
            <w:tcW w:type="dxa" w:w="108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7A5800"/>
                <w:sz w:val="17"/>
                <w:szCs w:val="17"/>
              </w:rPr>
              <w:t xml:space="preserve">Average — basic training</w:t>
            </w:r>
          </w:p>
        </w:tc>
        <w:tc>
          <w:tcPr>
            <w:tcW w:type="dxa" w:w="10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w:t>
            </w:r>
          </w:p>
        </w:tc>
        <w:tc>
          <w:tcPr>
            <w:tcW w:type="dxa" w:w="234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r>
              <w:rPr>
                <w:rFonts w:ascii="Arial" w:cs="Arial" w:eastAsia="Arial" w:hAnsi="Arial"/>
                <w:color w:val="1A4A7A"/>
                <w:sz w:val="17"/>
                <w:szCs w:val="17"/>
              </w:rPr>
              <w:t xml:space="preserve">Goal: Badged programme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Cultural inclusivity</w:t>
            </w:r>
          </w:p>
        </w:tc>
        <w:tc>
          <w:tcPr>
            <w:tcW w:type="dxa" w:w="13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 — Western-centric</w:t>
            </w:r>
          </w:p>
        </w:tc>
        <w:tc>
          <w:tcPr>
            <w:tcW w:type="dxa" w:w="13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 — Western-centric</w:t>
            </w:r>
          </w:p>
        </w:tc>
        <w:tc>
          <w:tcPr>
            <w:tcW w:type="dxa" w:w="108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7A5800"/>
                <w:sz w:val="17"/>
                <w:szCs w:val="17"/>
              </w:rPr>
              <w:t xml:space="preserve">Average</w:t>
            </w:r>
          </w:p>
        </w:tc>
        <w:tc>
          <w:tcPr>
            <w:tcW w:type="dxa" w:w="108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7A5800"/>
                <w:sz w:val="17"/>
                <w:szCs w:val="17"/>
              </w:rPr>
              <w:t xml:space="preserve">Average</w:t>
            </w:r>
          </w:p>
        </w:tc>
        <w:tc>
          <w:tcPr>
            <w:tcW w:type="dxa" w:w="234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r>
              <w:rPr>
                <w:rFonts w:ascii="Arial" w:cs="Arial" w:eastAsia="Arial" w:hAnsi="Arial"/>
                <w:color w:val="1A4A7A"/>
                <w:sz w:val="17"/>
                <w:szCs w:val="17"/>
              </w:rPr>
              <w:t xml:space="preserve">Goal: Multi-cultural content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Offline / async support</w:t>
            </w:r>
          </w:p>
        </w:tc>
        <w:tc>
          <w:tcPr>
            <w:tcW w:type="dxa" w:w="13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7"/>
                <w:szCs w:val="17"/>
              </w:rPr>
              <w:t xml:space="preserve">Strong</w:t>
            </w:r>
          </w:p>
        </w:tc>
        <w:tc>
          <w:tcPr>
            <w:tcW w:type="dxa" w:w="13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7"/>
                <w:szCs w:val="17"/>
              </w:rPr>
              <w:t xml:space="preserve">Strong</w:t>
            </w:r>
          </w:p>
        </w:tc>
        <w:tc>
          <w:tcPr>
            <w:tcW w:type="dxa" w:w="108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color w:val="7A5800"/>
                <w:sz w:val="17"/>
                <w:szCs w:val="17"/>
              </w:rPr>
              <w:t xml:space="preserve">Average</w:t>
            </w:r>
          </w:p>
        </w:tc>
        <w:tc>
          <w:tcPr>
            <w:tcW w:type="dxa" w:w="108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color w:val="9B1C1C"/>
                <w:sz w:val="17"/>
                <w:szCs w:val="17"/>
              </w:rPr>
              <w:t xml:space="preserve">Weak</w:t>
            </w:r>
          </w:p>
        </w:tc>
        <w:tc>
          <w:tcPr>
            <w:tcW w:type="dxa" w:w="234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r>
              <w:rPr>
                <w:rFonts w:ascii="Arial" w:cs="Arial" w:eastAsia="Arial" w:hAnsi="Arial"/>
                <w:color w:val="1A4A7A"/>
                <w:sz w:val="17"/>
                <w:szCs w:val="17"/>
              </w:rPr>
              <w:t xml:space="preserve">Goal: Async + offline</w:t>
            </w:r>
          </w:p>
        </w:tc>
      </w:tr>
    </w:tbl>
    <w:p>
      <w:pPr>
        <w:spacing w:after="200"/>
      </w:pPr>
    </w:p>
    <w:p>
      <w:pPr>
        <w:pStyle w:val="Heading1"/>
        <w:spacing w:after="160" w:before="300"/>
      </w:pPr>
      <w:r>
        <w:rPr>
          <w:rFonts w:ascii="Arial" w:cs="Arial" w:eastAsia="Arial" w:hAnsi="Arial"/>
          <w:b/>
          <w:bCs/>
          <w:color w:val="5B4B8A"/>
          <w:sz w:val="32"/>
          <w:szCs w:val="32"/>
        </w:rPr>
        <w:t xml:space="preserve">3. Key Findings</w:t>
      </w:r>
    </w:p>
    <w:p>
      <w:pPr>
        <w:pStyle w:val="Heading2"/>
        <w:spacing w:after="120" w:before="200"/>
      </w:pPr>
      <w:r>
        <w:rPr>
          <w:rFonts w:ascii="Arial" w:cs="Arial" w:eastAsia="Arial" w:hAnsi="Arial"/>
          <w:b/>
          <w:bCs/>
          <w:color w:val="2D2D2D"/>
          <w:sz w:val="24"/>
          <w:szCs w:val="24"/>
        </w:rPr>
        <w:t xml:space="preserve">3.1 Market Gaps</w:t>
      </w:r>
    </w:p>
    <w:p>
      <w:pPr>
        <w:pStyle w:val="ListParagraph"/>
        <w:numPr>
          <w:ilvl w:val="0"/>
          <w:numId w:val="2"/>
        </w:numPr>
        <w:spacing w:after="80"/>
      </w:pPr>
      <w:r>
        <w:rPr>
          <w:rFonts w:ascii="Arial" w:cs="Arial" w:eastAsia="Arial" w:hAnsi="Arial"/>
          <w:sz w:val="20"/>
          <w:szCs w:val="20"/>
        </w:rPr>
        <w:t xml:space="preserve">No competitor combines peer community, mood tracking, and crisis support in a single free product</w:t>
      </w:r>
    </w:p>
    <w:p>
      <w:pPr>
        <w:pStyle w:val="ListParagraph"/>
        <w:numPr>
          <w:ilvl w:val="0"/>
          <w:numId w:val="2"/>
        </w:numPr>
        <w:spacing w:after="80"/>
      </w:pPr>
      <w:r>
        <w:rPr>
          <w:rFonts w:ascii="Arial" w:cs="Arial" w:eastAsia="Arial" w:hAnsi="Arial"/>
          <w:sz w:val="20"/>
          <w:szCs w:val="20"/>
        </w:rPr>
        <w:t xml:space="preserve">Caregiver-specific content and support is completely absent from all five competitors</w:t>
      </w:r>
    </w:p>
    <w:p>
      <w:pPr>
        <w:pStyle w:val="ListParagraph"/>
        <w:numPr>
          <w:ilvl w:val="0"/>
          <w:numId w:val="2"/>
        </w:numPr>
        <w:spacing w:after="80"/>
      </w:pPr>
      <w:r>
        <w:rPr>
          <w:rFonts w:ascii="Arial" w:cs="Arial" w:eastAsia="Arial" w:hAnsi="Arial"/>
          <w:sz w:val="20"/>
          <w:szCs w:val="20"/>
        </w:rPr>
        <w:t xml:space="preserve">Peer supporter training and recognition is either absent or minimal — 7 Cups is the only partial exception</w:t>
      </w:r>
    </w:p>
    <w:p>
      <w:pPr>
        <w:pStyle w:val="ListParagraph"/>
        <w:numPr>
          <w:ilvl w:val="0"/>
          <w:numId w:val="2"/>
        </w:numPr>
        <w:spacing w:after="80"/>
      </w:pPr>
      <w:r>
        <w:rPr>
          <w:rFonts w:ascii="Arial" w:cs="Arial" w:eastAsia="Arial" w:hAnsi="Arial"/>
          <w:sz w:val="20"/>
          <w:szCs w:val="20"/>
        </w:rPr>
        <w:t xml:space="preserve">All mainstream apps (Calm, Headspace) require account creation and are paywalled within minutes</w:t>
      </w:r>
    </w:p>
    <w:p>
      <w:pPr>
        <w:pStyle w:val="ListParagraph"/>
        <w:numPr>
          <w:ilvl w:val="0"/>
          <w:numId w:val="2"/>
        </w:numPr>
        <w:spacing w:after="80"/>
      </w:pPr>
      <w:r>
        <w:rPr>
          <w:rFonts w:ascii="Arial" w:cs="Arial" w:eastAsia="Arial" w:hAnsi="Arial"/>
          <w:sz w:val="20"/>
          <w:szCs w:val="20"/>
        </w:rPr>
        <w:t xml:space="preserve">Cultural inclusivity is a gap across all competitors — content is predominantly English-language and Western-framed</w:t>
      </w:r>
    </w:p>
    <w:p>
      <w:pPr>
        <w:pStyle w:val="Heading2"/>
        <w:spacing w:after="120" w:before="200"/>
      </w:pPr>
      <w:r>
        <w:rPr>
          <w:rFonts w:ascii="Arial" w:cs="Arial" w:eastAsia="Arial" w:hAnsi="Arial"/>
          <w:b/>
          <w:bCs/>
          <w:color w:val="2D2D2D"/>
          <w:sz w:val="24"/>
          <w:szCs w:val="24"/>
        </w:rPr>
        <w:t xml:space="preserve">3.2 Competitor Strengths to Match</w:t>
      </w:r>
    </w:p>
    <w:p>
      <w:pPr>
        <w:pStyle w:val="ListParagraph"/>
        <w:numPr>
          <w:ilvl w:val="0"/>
          <w:numId w:val="2"/>
        </w:numPr>
        <w:spacing w:after="80"/>
      </w:pPr>
      <w:r>
        <w:rPr>
          <w:rFonts w:ascii="Arial" w:cs="Arial" w:eastAsia="Arial" w:hAnsi="Arial"/>
          <w:sz w:val="20"/>
          <w:szCs w:val="20"/>
        </w:rPr>
        <w:t xml:space="preserve">Calm and Headspace: High-quality, clinically-informed guided content — MindBridge should partner or develop equivalent quality</w:t>
      </w:r>
    </w:p>
    <w:p>
      <w:pPr>
        <w:pStyle w:val="ListParagraph"/>
        <w:numPr>
          <w:ilvl w:val="0"/>
          <w:numId w:val="2"/>
        </w:numPr>
        <w:spacing w:after="80"/>
      </w:pPr>
      <w:r>
        <w:rPr>
          <w:rFonts w:ascii="Arial" w:cs="Arial" w:eastAsia="Arial" w:hAnsi="Arial"/>
          <w:sz w:val="20"/>
          <w:szCs w:val="20"/>
        </w:rPr>
        <w:t xml:space="preserve">7 Cups: Proven peer listener model — MindBridge should build on this with better training and accountability</w:t>
      </w:r>
    </w:p>
    <w:p>
      <w:pPr>
        <w:pStyle w:val="ListParagraph"/>
        <w:numPr>
          <w:ilvl w:val="0"/>
          <w:numId w:val="2"/>
        </w:numPr>
        <w:spacing w:after="80"/>
      </w:pPr>
      <w:r>
        <w:rPr>
          <w:rFonts w:ascii="Arial" w:cs="Arial" w:eastAsia="Arial" w:hAnsi="Arial"/>
          <w:sz w:val="20"/>
          <w:szCs w:val="20"/>
        </w:rPr>
        <w:t xml:space="preserve">Woebot: Fast onboarding and anonymous access — MindBridge should match or exceed this benchmark</w:t>
      </w:r>
    </w:p>
    <w:p>
      <w:pPr>
        <w:pStyle w:val="Heading1"/>
        <w:spacing w:after="160" w:before="300"/>
      </w:pPr>
      <w:r>
        <w:rPr>
          <w:rFonts w:ascii="Arial" w:cs="Arial" w:eastAsia="Arial" w:hAnsi="Arial"/>
          <w:b/>
          <w:bCs/>
          <w:color w:val="5B4B8A"/>
          <w:sz w:val="32"/>
          <w:szCs w:val="32"/>
        </w:rPr>
        <w:t xml:space="preserve">4. Design Opportunities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2800"/>
        <w:gridCol w:w="1400"/>
        <w:gridCol w:w="1800"/>
      </w:tblGrid>
      <w:tr>
        <w:tc>
          <w:tcPr>
            <w:tcW w:type="dxa" w:w="36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18"/>
                <w:szCs w:val="18"/>
              </w:rPr>
              <w:t xml:space="preserve">Opportunity</w:t>
            </w:r>
          </w:p>
        </w:tc>
        <w:tc>
          <w:tcPr>
            <w:tcW w:type="dxa" w:w="280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18"/>
                <w:szCs w:val="18"/>
              </w:rPr>
              <w:t xml:space="preserve">Based On Gap</w:t>
            </w:r>
          </w:p>
        </w:tc>
        <w:tc>
          <w:tcPr>
            <w:tcW w:type="dxa" w:w="140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800"/>
            <w:tcBorders>
              <w:top w:val="single" w:color="CCCCCC" w:sz="1"/>
              <w:left w:val="single" w:color="CCCCCC" w:sz="1"/>
              <w:bottom w:val="single" w:color="CCCCCC" w:sz="1"/>
              <w:right w:val="single" w:color="CCCCCC" w:sz="1"/>
            </w:tcBorders>
            <w:shd w:fill="5B4B8A" w:val="clear"/>
            <w:tcMar>
              <w:top w:type="dxa" w:w="80"/>
              <w:left w:type="dxa" w:w="120"/>
              <w:bottom w:type="dxa" w:w="80"/>
              <w:right w:type="dxa" w:w="120"/>
            </w:tcMar>
          </w:tcPr>
          <w:p>
            <w:r>
              <w:rPr>
                <w:rFonts w:ascii="Arial" w:cs="Arial" w:eastAsia="Arial" w:hAnsi="Arial"/>
                <w:b/>
                <w:bCs/>
                <w:color w:val="FFFFFF"/>
                <w:sz w:val="18"/>
                <w:szCs w:val="18"/>
              </w:rPr>
              <w:t xml:space="preserve">Persona Served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Anonymous sign-up with no email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All competitors require account creation</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2D2D2D"/>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Aisha, Jin-ho</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Moderated peer circles by topic (anxiety, grief, burnout)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No competitor offers free moderated circles</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2D2D2D"/>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Aisha, Marcus, Elena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Dedicated caregiver support pathway and community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Zero competitors address caregiver users</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2D2D2D"/>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Elena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Peer supporter training badge system with clear role boundaries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7 Cups partial; no competitor does this well</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2D2D2D"/>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Priya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Flexible mood check-in (daily, weekly, or on-demand)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All trackers assume daily engagement</w:t>
            </w:r>
          </w:p>
        </w:tc>
        <w:tc>
          <w:tcPr>
            <w:tcW w:type="dxa" w:w="14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val="false"/>
                <w:bCs w:val="false"/>
                <w:color w:val="2D2D2D"/>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Marcus, Elena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Crisis pathway persistent in UI — never buried in settings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Crisis links are inconsistently placed</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2D2D2D"/>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All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Culturally sensitive content themes with localisation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All competitors are Western-centric</w:t>
            </w:r>
          </w:p>
        </w:tc>
        <w:tc>
          <w:tcPr>
            <w:tcW w:type="dxa" w:w="14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val="false"/>
                <w:bCs w:val="false"/>
                <w:color w:val="2D2D2D"/>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Jin-ho, Aisha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5B4B8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2026-04-14T06:58:49.914Z</dcterms:created>
  <dcterms:modified xsi:type="dcterms:W3CDTF">2026-04-14T06:58:49.915Z</dcterms:modified>
</cp:coreProperties>
</file>

<file path=docProps/custom.xml><?xml version="1.0" encoding="utf-8"?>
<Properties xmlns="http://schemas.openxmlformats.org/officeDocument/2006/custom-properties" xmlns:vt="http://schemas.openxmlformats.org/officeDocument/2006/docPropsVTypes"/>
</file>