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34F" w:rsidRPr="00934BDB" w:rsidRDefault="00517C18" w:rsidP="00934BDB">
      <w:pPr>
        <w:spacing w:before="1400" w:line="360" w:lineRule="auto"/>
        <w:jc w:val="center"/>
        <w:rPr>
          <w:rFonts w:asciiTheme="majorBidi" w:hAnsiTheme="majorBidi" w:cstheme="majorBidi"/>
          <w:sz w:val="24"/>
          <w:szCs w:val="24"/>
        </w:rPr>
      </w:pPr>
      <w:r w:rsidRPr="00934BDB">
        <w:rPr>
          <w:rFonts w:asciiTheme="majorBidi" w:hAnsiTheme="majorBidi" w:cstheme="majorBidi"/>
          <w:b/>
          <w:bCs/>
          <w:color w:val="15274B"/>
          <w:sz w:val="24"/>
          <w:szCs w:val="24"/>
        </w:rPr>
        <w:t>THE TRANSACTION DETECTIVE</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b/>
          <w:bCs/>
          <w:color w:val="8E2334"/>
          <w:sz w:val="24"/>
          <w:szCs w:val="24"/>
        </w:rPr>
        <w:t>Financial Transaction Data Analytics Report</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color w:val="5F6368"/>
          <w:sz w:val="24"/>
          <w:szCs w:val="24"/>
        </w:rPr>
        <w:br/>
        <w:t>House of Practice — Round One</w:t>
      </w:r>
    </w:p>
    <w:p w:rsidR="003D234F" w:rsidRPr="00934BDB" w:rsidRDefault="003D234F" w:rsidP="00934BDB">
      <w:pPr>
        <w:spacing w:line="360" w:lineRule="auto"/>
        <w:rPr>
          <w:rFonts w:asciiTheme="majorBidi" w:hAnsiTheme="majorBidi" w:cstheme="majorBidi"/>
          <w:sz w:val="24"/>
          <w:szCs w:val="24"/>
        </w:rPr>
      </w:pPr>
    </w:p>
    <w:tbl>
      <w:tblPr>
        <w:tblStyle w:val="a"/>
        <w:tblW w:w="10080" w:type="dxa"/>
        <w:jc w:val="center"/>
        <w:tblInd w:w="0" w:type="dxa"/>
        <w:tblLayout w:type="fixed"/>
        <w:tblLook w:val="0400" w:firstRow="0" w:lastRow="0" w:firstColumn="0" w:lastColumn="0" w:noHBand="0" w:noVBand="1"/>
      </w:tblPr>
      <w:tblGrid>
        <w:gridCol w:w="5040"/>
        <w:gridCol w:w="5040"/>
      </w:tblGrid>
      <w:tr w:rsidR="003D234F" w:rsidRPr="00934BDB">
        <w:trPr>
          <w:jc w:val="center"/>
        </w:trPr>
        <w:tc>
          <w:tcPr>
            <w:tcW w:w="5040" w:type="dxa"/>
            <w:shd w:val="clear" w:color="auto" w:fill="EEF2F7"/>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Full Name</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AMIN YASIR</w:t>
            </w:r>
          </w:p>
        </w:tc>
      </w:tr>
      <w:tr w:rsidR="003D234F" w:rsidRPr="00934BDB">
        <w:trPr>
          <w:jc w:val="center"/>
        </w:trPr>
        <w:tc>
          <w:tcPr>
            <w:tcW w:w="5040" w:type="dxa"/>
            <w:shd w:val="clear" w:color="auto" w:fill="EEF2F7"/>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Selected Track</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Data Analytics</w:t>
            </w:r>
          </w:p>
        </w:tc>
      </w:tr>
      <w:tr w:rsidR="003D234F" w:rsidRPr="00934BDB">
        <w:trPr>
          <w:jc w:val="center"/>
        </w:trPr>
        <w:tc>
          <w:tcPr>
            <w:tcW w:w="5040" w:type="dxa"/>
            <w:shd w:val="clear" w:color="auto" w:fill="EEF2F7"/>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Project Title</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The Transaction Detective</w:t>
            </w:r>
          </w:p>
        </w:tc>
      </w:tr>
      <w:tr w:rsidR="003D234F" w:rsidRPr="00934BDB">
        <w:trPr>
          <w:jc w:val="center"/>
        </w:trPr>
        <w:tc>
          <w:tcPr>
            <w:tcW w:w="5040" w:type="dxa"/>
            <w:shd w:val="clear" w:color="auto" w:fill="EEF2F7"/>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Primary Tool</w:t>
            </w:r>
          </w:p>
        </w:tc>
        <w:tc>
          <w:tcPr>
            <w:tcW w:w="5040" w:type="dxa"/>
            <w:vAlign w:val="center"/>
          </w:tcPr>
          <w:p w:rsidR="003D234F" w:rsidRPr="00934BDB" w:rsidRDefault="00934BDB" w:rsidP="00934BDB">
            <w:pPr>
              <w:spacing w:line="360" w:lineRule="auto"/>
              <w:rPr>
                <w:rFonts w:asciiTheme="majorBidi" w:hAnsiTheme="majorBidi" w:cstheme="majorBidi"/>
                <w:sz w:val="24"/>
                <w:szCs w:val="24"/>
              </w:rPr>
            </w:pPr>
            <w:r>
              <w:rPr>
                <w:rFonts w:asciiTheme="majorBidi" w:hAnsiTheme="majorBidi" w:cstheme="majorBidi"/>
                <w:color w:val="23262A"/>
                <w:sz w:val="24"/>
                <w:szCs w:val="24"/>
              </w:rPr>
              <w:t xml:space="preserve">Excel and </w:t>
            </w:r>
            <w:r w:rsidR="00517C18" w:rsidRPr="00934BDB">
              <w:rPr>
                <w:rFonts w:asciiTheme="majorBidi" w:hAnsiTheme="majorBidi" w:cstheme="majorBidi"/>
                <w:color w:val="23262A"/>
                <w:sz w:val="24"/>
                <w:szCs w:val="24"/>
              </w:rPr>
              <w:t>Tableau</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sz w:val="24"/>
          <w:szCs w:val="24"/>
        </w:rPr>
        <w:br w:type="page"/>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Contents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1. Executive Summary</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2. Project Objective and Analytical Questions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3. Dataset and Data Preparation</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4. Methodology</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5. Findings and Dashboard Analysis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6. Key Anomalies and Suspicious </w:t>
      </w:r>
      <w:proofErr w:type="spellStart"/>
      <w:r w:rsidRPr="00934BDB">
        <w:rPr>
          <w:rFonts w:asciiTheme="majorBidi" w:hAnsiTheme="majorBidi" w:cstheme="majorBidi"/>
          <w:sz w:val="24"/>
          <w:szCs w:val="24"/>
        </w:rPr>
        <w:t>Behaviour</w:t>
      </w:r>
      <w:proofErr w:type="spellEnd"/>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7. Customer and Merchant Insights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8. Potential Business Opportunities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9. Recommendations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10. Limitations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11. Additional Data Requested</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12. Conclusion</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13. Final Reflection</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Appendix A — Dashboard Evidence</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sz w:val="24"/>
          <w:szCs w:val="24"/>
        </w:rPr>
        <w:br w:type="page"/>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1. Executive Summary</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This report analyses 1,500 fictional financial transactions recorded between 01 August 2026 and 31 August 2026. The dataset contains 22 variables covering transaction activity, customer segments, channels, providers, geography, balances and risk indicators. The transactions have a total stated value of GHS 330,082.73 and involve 298 unique customer IDs.</w:t>
      </w:r>
    </w:p>
    <w:tbl>
      <w:tblPr>
        <w:tblStyle w:val="a0"/>
        <w:tblW w:w="10080" w:type="dxa"/>
        <w:jc w:val="center"/>
        <w:tblInd w:w="0" w:type="dxa"/>
        <w:tblLayout w:type="fixed"/>
        <w:tblLook w:val="0400" w:firstRow="0" w:lastRow="0" w:firstColumn="0" w:lastColumn="0" w:noHBand="0" w:noVBand="1"/>
      </w:tblPr>
      <w:tblGrid>
        <w:gridCol w:w="2016"/>
        <w:gridCol w:w="2016"/>
        <w:gridCol w:w="2016"/>
        <w:gridCol w:w="2016"/>
        <w:gridCol w:w="2016"/>
      </w:tblGrid>
      <w:tr w:rsidR="003D234F" w:rsidRPr="00934BDB">
        <w:trPr>
          <w:jc w:val="center"/>
        </w:trPr>
        <w:tc>
          <w:tcPr>
            <w:tcW w:w="2016" w:type="dxa"/>
            <w:shd w:val="clear" w:color="auto" w:fill="F2F5FA"/>
          </w:tcPr>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b/>
                <w:bCs/>
                <w:color w:val="15274B"/>
                <w:sz w:val="24"/>
                <w:szCs w:val="24"/>
              </w:rPr>
              <w:t>1,500</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color w:val="5F6368"/>
                <w:sz w:val="24"/>
                <w:szCs w:val="24"/>
              </w:rPr>
              <w:t>Transactions</w:t>
            </w:r>
          </w:p>
        </w:tc>
        <w:tc>
          <w:tcPr>
            <w:tcW w:w="2016" w:type="dxa"/>
            <w:shd w:val="clear" w:color="auto" w:fill="F2F5FA"/>
          </w:tcPr>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b/>
                <w:bCs/>
                <w:color w:val="15274B"/>
                <w:sz w:val="24"/>
                <w:szCs w:val="24"/>
              </w:rPr>
              <w:t>298</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color w:val="5F6368"/>
                <w:sz w:val="24"/>
                <w:szCs w:val="24"/>
              </w:rPr>
              <w:t>Unique customers</w:t>
            </w:r>
          </w:p>
        </w:tc>
        <w:tc>
          <w:tcPr>
            <w:tcW w:w="2016" w:type="dxa"/>
            <w:shd w:val="clear" w:color="auto" w:fill="F2F5FA"/>
          </w:tcPr>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b/>
                <w:bCs/>
                <w:color w:val="15274B"/>
                <w:sz w:val="24"/>
                <w:szCs w:val="24"/>
              </w:rPr>
              <w:t>GHS 330,083</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color w:val="5F6368"/>
                <w:sz w:val="24"/>
                <w:szCs w:val="24"/>
              </w:rPr>
              <w:t>Transaction value</w:t>
            </w:r>
          </w:p>
        </w:tc>
        <w:tc>
          <w:tcPr>
            <w:tcW w:w="2016" w:type="dxa"/>
            <w:shd w:val="clear" w:color="auto" w:fill="F2F5FA"/>
          </w:tcPr>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b/>
                <w:bCs/>
                <w:color w:val="15274B"/>
                <w:sz w:val="24"/>
                <w:szCs w:val="24"/>
              </w:rPr>
              <w:t>79.4%</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color w:val="5F6368"/>
                <w:sz w:val="24"/>
                <w:szCs w:val="24"/>
              </w:rPr>
              <w:t>Successful</w:t>
            </w:r>
          </w:p>
        </w:tc>
        <w:tc>
          <w:tcPr>
            <w:tcW w:w="2016" w:type="dxa"/>
            <w:shd w:val="clear" w:color="auto" w:fill="F2F5FA"/>
          </w:tcPr>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b/>
                <w:bCs/>
                <w:color w:val="15274B"/>
                <w:sz w:val="24"/>
                <w:szCs w:val="24"/>
              </w:rPr>
              <w:t>14.4%</w:t>
            </w: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color w:val="5F6368"/>
                <w:sz w:val="24"/>
                <w:szCs w:val="24"/>
              </w:rPr>
              <w:t>Failed</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 analysis goes beyond counting transactions by combining transaction value, status, timing, customer </w:t>
      </w:r>
      <w:proofErr w:type="spellStart"/>
      <w:r w:rsidRPr="00934BDB">
        <w:rPr>
          <w:rFonts w:asciiTheme="majorBidi" w:hAnsiTheme="majorBidi" w:cstheme="majorBidi"/>
          <w:sz w:val="24"/>
          <w:szCs w:val="24"/>
        </w:rPr>
        <w:t>behaviour</w:t>
      </w:r>
      <w:proofErr w:type="spellEnd"/>
      <w:r w:rsidRPr="00934BDB">
        <w:rPr>
          <w:rFonts w:asciiTheme="majorBidi" w:hAnsiTheme="majorBidi" w:cstheme="majorBidi"/>
          <w:sz w:val="24"/>
          <w:szCs w:val="24"/>
        </w:rPr>
        <w:t xml:space="preserve"> and risk indicators. Several patterns become visible only after aggregation: P2P transfers account for the largest share of transaction value; the Mobile App is the dominant channel; Greater Accra and Eastern together account for more than half of transaction value; and failure rates vary substantially by transaction type and region.</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risk analysis is particularly important. 308 transactions (20.5%) have risk scores of 80 or above, including 237 successful transactions. Risk scores also rise systematically as velocity, device changes and failed attempts increase. In addition, the data contains 20 transactions of GHS 1,000 or more, of which 8 failed, and several very large transactions whose values do not reconcile with the recorded balances.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 main conclusion is that raw transaction rows hide relationships and concentration effects. A </w:t>
      </w:r>
      <w:proofErr w:type="spellStart"/>
      <w:r w:rsidRPr="00934BDB">
        <w:rPr>
          <w:rFonts w:asciiTheme="majorBidi" w:hAnsiTheme="majorBidi" w:cstheme="majorBidi"/>
          <w:sz w:val="24"/>
          <w:szCs w:val="24"/>
        </w:rPr>
        <w:t>fintech</w:t>
      </w:r>
      <w:proofErr w:type="spellEnd"/>
      <w:r w:rsidRPr="00934BDB">
        <w:rPr>
          <w:rFonts w:asciiTheme="majorBidi" w:hAnsiTheme="majorBidi" w:cstheme="majorBidi"/>
          <w:sz w:val="24"/>
          <w:szCs w:val="24"/>
        </w:rPr>
        <w:t xml:space="preserve"> decision-maker needs aggregated failure rates, risk patterns, channel and regional concentration, anomaly checks and customer/merchant segmentation to understand where operational losses and fraud exposure may sit.</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2. Project Objective and Analytical Questions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 purpose of the analysis was to investigate the fictional </w:t>
      </w:r>
      <w:proofErr w:type="spellStart"/>
      <w:r w:rsidRPr="00934BDB">
        <w:rPr>
          <w:rFonts w:asciiTheme="majorBidi" w:hAnsiTheme="majorBidi" w:cstheme="majorBidi"/>
          <w:sz w:val="24"/>
          <w:szCs w:val="24"/>
        </w:rPr>
        <w:t>fintech</w:t>
      </w:r>
      <w:proofErr w:type="spellEnd"/>
      <w:r w:rsidRPr="00934BDB">
        <w:rPr>
          <w:rFonts w:asciiTheme="majorBidi" w:hAnsiTheme="majorBidi" w:cstheme="majorBidi"/>
          <w:sz w:val="24"/>
          <w:szCs w:val="24"/>
        </w:rPr>
        <w:t xml:space="preserve"> transaction dataset as a data analyst, identify meaningful patterns and anomalies, and translate the results into business actions.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2.1 Analytical questions</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What are the dominant transaction types, channels, providers and regions by volume and value?</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When does transaction activity peak by day and hour?</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Which transaction types, regions, channels and providers have the highest failure rates?</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What failure or reversal reasons occur most frequently?</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Which customer segments generate the greatest transaction activity and value?</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What relationships exist between risk score and velocity, device changes, failed attempts and transaction amount?</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Which transactions should be investigated as potential anomalies or suspicious activity?</w:t>
      </w:r>
    </w:p>
    <w:p w:rsidR="003D234F" w:rsidRPr="00934BDB" w:rsidRDefault="00517C18" w:rsidP="00934BDB">
      <w:pPr>
        <w:numPr>
          <w:ilvl w:val="0"/>
          <w:numId w:val="1"/>
        </w:numPr>
        <w:pBdr>
          <w:top w:val="nil"/>
          <w:left w:val="nil"/>
          <w:bottom w:val="nil"/>
          <w:right w:val="nil"/>
          <w:between w:val="nil"/>
        </w:pBdr>
        <w:spacing w:after="80" w:line="360" w:lineRule="auto"/>
        <w:rPr>
          <w:rFonts w:asciiTheme="majorBidi" w:hAnsiTheme="majorBidi" w:cstheme="majorBidi"/>
          <w:sz w:val="24"/>
          <w:szCs w:val="24"/>
        </w:rPr>
      </w:pPr>
      <w:r w:rsidRPr="00934BDB">
        <w:rPr>
          <w:rFonts w:asciiTheme="majorBidi" w:hAnsiTheme="majorBidi" w:cstheme="majorBidi"/>
          <w:color w:val="000000"/>
          <w:sz w:val="24"/>
          <w:szCs w:val="24"/>
        </w:rPr>
        <w:t>What operational and commercial opportunities can be derived from the findings?</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3. Dataset and Data Preparation</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source file contains 1,500 transaction records and 22 fields. The analysis used the transaction-level dataset and created additional analytical fields for risk bands, day of week, hour, expected balance after transaction, balance difference and data-quality flags.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3.1 Main variables used</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3D234F" w:rsidRPr="00934BDB">
        <w:trPr>
          <w:jc w:val="center"/>
        </w:trPr>
        <w:tc>
          <w:tcPr>
            <w:tcW w:w="50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Analytical area</w:t>
            </w:r>
          </w:p>
        </w:tc>
        <w:tc>
          <w:tcPr>
            <w:tcW w:w="50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Fields used</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Transaction</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color w:val="23262A"/>
                <w:sz w:val="24"/>
                <w:szCs w:val="24"/>
              </w:rPr>
              <w:t>transaction_id</w:t>
            </w:r>
            <w:proofErr w:type="spellEnd"/>
            <w:r w:rsidRPr="00934BDB">
              <w:rPr>
                <w:rFonts w:asciiTheme="majorBidi" w:hAnsiTheme="majorBidi" w:cstheme="majorBidi"/>
                <w:color w:val="23262A"/>
                <w:sz w:val="24"/>
                <w:szCs w:val="24"/>
              </w:rPr>
              <w:t xml:space="preserve">, timestamp, </w:t>
            </w:r>
            <w:proofErr w:type="spellStart"/>
            <w:r w:rsidRPr="00934BDB">
              <w:rPr>
                <w:rFonts w:asciiTheme="majorBidi" w:hAnsiTheme="majorBidi" w:cstheme="majorBidi"/>
                <w:color w:val="23262A"/>
                <w:sz w:val="24"/>
                <w:szCs w:val="24"/>
              </w:rPr>
              <w:t>transaction_type</w:t>
            </w:r>
            <w:proofErr w:type="spellEnd"/>
            <w:r w:rsidRPr="00934BDB">
              <w:rPr>
                <w:rFonts w:asciiTheme="majorBidi" w:hAnsiTheme="majorBidi" w:cstheme="majorBidi"/>
                <w:color w:val="23262A"/>
                <w:sz w:val="24"/>
                <w:szCs w:val="24"/>
              </w:rPr>
              <w:t xml:space="preserve">, </w:t>
            </w:r>
            <w:proofErr w:type="spellStart"/>
            <w:r w:rsidRPr="00934BDB">
              <w:rPr>
                <w:rFonts w:asciiTheme="majorBidi" w:hAnsiTheme="majorBidi" w:cstheme="majorBidi"/>
                <w:color w:val="23262A"/>
                <w:sz w:val="24"/>
                <w:szCs w:val="24"/>
              </w:rPr>
              <w:t>amount_ghs</w:t>
            </w:r>
            <w:proofErr w:type="spellEnd"/>
            <w:r w:rsidRPr="00934BDB">
              <w:rPr>
                <w:rFonts w:asciiTheme="majorBidi" w:hAnsiTheme="majorBidi" w:cstheme="majorBidi"/>
                <w:color w:val="23262A"/>
                <w:sz w:val="24"/>
                <w:szCs w:val="24"/>
              </w:rPr>
              <w:t>, status</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Customer</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color w:val="23262A"/>
                <w:sz w:val="24"/>
                <w:szCs w:val="24"/>
              </w:rPr>
              <w:t>customer_id</w:t>
            </w:r>
            <w:proofErr w:type="spellEnd"/>
            <w:r w:rsidRPr="00934BDB">
              <w:rPr>
                <w:rFonts w:asciiTheme="majorBidi" w:hAnsiTheme="majorBidi" w:cstheme="majorBidi"/>
                <w:color w:val="23262A"/>
                <w:sz w:val="24"/>
                <w:szCs w:val="24"/>
              </w:rPr>
              <w:t xml:space="preserve">, </w:t>
            </w:r>
            <w:proofErr w:type="spellStart"/>
            <w:r w:rsidRPr="00934BDB">
              <w:rPr>
                <w:rFonts w:asciiTheme="majorBidi" w:hAnsiTheme="majorBidi" w:cstheme="majorBidi"/>
                <w:color w:val="23262A"/>
                <w:sz w:val="24"/>
                <w:szCs w:val="24"/>
              </w:rPr>
              <w:t>customer_segment</w:t>
            </w:r>
            <w:proofErr w:type="spellEnd"/>
            <w:r w:rsidRPr="00934BDB">
              <w:rPr>
                <w:rFonts w:asciiTheme="majorBidi" w:hAnsiTheme="majorBidi" w:cstheme="majorBidi"/>
                <w:color w:val="23262A"/>
                <w:sz w:val="24"/>
                <w:szCs w:val="24"/>
              </w:rPr>
              <w:t xml:space="preserve">, </w:t>
            </w:r>
            <w:proofErr w:type="spellStart"/>
            <w:r w:rsidRPr="00934BDB">
              <w:rPr>
                <w:rFonts w:asciiTheme="majorBidi" w:hAnsiTheme="majorBidi" w:cstheme="majorBidi"/>
                <w:color w:val="23262A"/>
                <w:sz w:val="24"/>
                <w:szCs w:val="24"/>
              </w:rPr>
              <w:t>customer_tenure_days</w:t>
            </w:r>
            <w:proofErr w:type="spellEnd"/>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Channel / provider</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channel, provider</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Geography</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region</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 xml:space="preserve">Risk </w:t>
            </w:r>
            <w:proofErr w:type="spellStart"/>
            <w:r w:rsidRPr="00934BDB">
              <w:rPr>
                <w:rFonts w:asciiTheme="majorBidi" w:hAnsiTheme="majorBidi" w:cstheme="majorBidi"/>
                <w:color w:val="23262A"/>
                <w:sz w:val="24"/>
                <w:szCs w:val="24"/>
              </w:rPr>
              <w:t>behaviour</w:t>
            </w:r>
            <w:proofErr w:type="spellEnd"/>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color w:val="23262A"/>
                <w:sz w:val="24"/>
                <w:szCs w:val="24"/>
              </w:rPr>
              <w:t>risk_score</w:t>
            </w:r>
            <w:proofErr w:type="spellEnd"/>
            <w:r w:rsidRPr="00934BDB">
              <w:rPr>
                <w:rFonts w:asciiTheme="majorBidi" w:hAnsiTheme="majorBidi" w:cstheme="majorBidi"/>
                <w:color w:val="23262A"/>
                <w:sz w:val="24"/>
                <w:szCs w:val="24"/>
              </w:rPr>
              <w:t>, velocity_1h, device_changes_24h, failed_attempts_24h</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Account balance</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color w:val="23262A"/>
                <w:sz w:val="24"/>
                <w:szCs w:val="24"/>
              </w:rPr>
              <w:t>balance_before_ghs</w:t>
            </w:r>
            <w:proofErr w:type="spellEnd"/>
            <w:r w:rsidRPr="00934BDB">
              <w:rPr>
                <w:rFonts w:asciiTheme="majorBidi" w:hAnsiTheme="majorBidi" w:cstheme="majorBidi"/>
                <w:color w:val="23262A"/>
                <w:sz w:val="24"/>
                <w:szCs w:val="24"/>
              </w:rPr>
              <w:t xml:space="preserve">, </w:t>
            </w:r>
            <w:proofErr w:type="spellStart"/>
            <w:r w:rsidRPr="00934BDB">
              <w:rPr>
                <w:rFonts w:asciiTheme="majorBidi" w:hAnsiTheme="majorBidi" w:cstheme="majorBidi"/>
                <w:color w:val="23262A"/>
                <w:sz w:val="24"/>
                <w:szCs w:val="24"/>
              </w:rPr>
              <w:t>balance_after_ghs</w:t>
            </w:r>
            <w:proofErr w:type="spellEnd"/>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Counterparties</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color w:val="23262A"/>
                <w:sz w:val="24"/>
                <w:szCs w:val="24"/>
              </w:rPr>
              <w:t>merchant_or_agent_id</w:t>
            </w:r>
            <w:proofErr w:type="spellEnd"/>
            <w:r w:rsidRPr="00934BDB">
              <w:rPr>
                <w:rFonts w:asciiTheme="majorBidi" w:hAnsiTheme="majorBidi" w:cstheme="majorBidi"/>
                <w:color w:val="23262A"/>
                <w:sz w:val="24"/>
                <w:szCs w:val="24"/>
              </w:rPr>
              <w:t xml:space="preserve">, </w:t>
            </w:r>
            <w:proofErr w:type="spellStart"/>
            <w:r w:rsidRPr="00934BDB">
              <w:rPr>
                <w:rFonts w:asciiTheme="majorBidi" w:hAnsiTheme="majorBidi" w:cstheme="majorBidi"/>
                <w:color w:val="23262A"/>
                <w:sz w:val="24"/>
                <w:szCs w:val="24"/>
              </w:rPr>
              <w:t>recipient_id</w:t>
            </w:r>
            <w:proofErr w:type="spellEnd"/>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Failure detail</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color w:val="23262A"/>
                <w:sz w:val="24"/>
                <w:szCs w:val="24"/>
              </w:rPr>
              <w:t>failure_or_reversal_reason</w:t>
            </w:r>
            <w:proofErr w:type="spellEnd"/>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3.2 Data-quality observations</w:t>
      </w: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D234F" w:rsidRPr="00934BDB">
        <w:trPr>
          <w:jc w:val="center"/>
        </w:trPr>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Data-quality issue</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Observation</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Treatment / implication</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Transaction IDs</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 duplicated IDs (6 rows share duplicate IDs)</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 xml:space="preserve">Investigate before using </w:t>
            </w:r>
            <w:proofErr w:type="spellStart"/>
            <w:r w:rsidRPr="00934BDB">
              <w:rPr>
                <w:rFonts w:asciiTheme="majorBidi" w:hAnsiTheme="majorBidi" w:cstheme="majorBidi"/>
                <w:color w:val="23262A"/>
                <w:sz w:val="24"/>
                <w:szCs w:val="24"/>
              </w:rPr>
              <w:t>transaction_id</w:t>
            </w:r>
            <w:proofErr w:type="spellEnd"/>
            <w:r w:rsidRPr="00934BDB">
              <w:rPr>
                <w:rFonts w:asciiTheme="majorBidi" w:hAnsiTheme="majorBidi" w:cstheme="majorBidi"/>
                <w:color w:val="23262A"/>
                <w:sz w:val="24"/>
                <w:szCs w:val="24"/>
              </w:rPr>
              <w:t xml:space="preserve"> as a unique key</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Amount</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 missing value</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Do not impute without business evidence; exclude from amount-based totals where necessary</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Customer ID</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 missing value</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Requires source-system correction</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Channel</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 missing value</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Requires source-system correction</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Region</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 missing value</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Requires source-system correction</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Device ID</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 missing value</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Requires source-system correction</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Merchant/agent ID</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808 missing values</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Mostly structural: transfers/bill payments do not use a merchant/agent field</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Customer segment</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233 of 298 customers appear in more than one segment</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Validate customer master-data rules</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duplicated transaction IDs should not automatically be deleted: the duplicate IDs correspond to different transaction records rather than identical rows. They should instead be resolved using the source system's true transaction key. Similarly, merchant/agent blanks are not necessarily errors because the field is populated for Cash-In, Cash-Out and Merchant Payment but not for the other transaction types.</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4. Methodology</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analysis followed a descriptive-to-diagnostic workflow. First, the dataset was profiled for completeness, uniqueness and data types. Second, transactions were aggregated by time, transaction type, customer segment, channel, provider and region. Third, failure and risk metrics were calculated. Finally, individual high-risk or high-value records were investigated to move from broad patterns to transaction-level evidence.</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Descriptive analysis — transaction counts, total values, averages and proportions.</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Time analysis — transaction counts and values by day of week and hour.</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Failure analysis — failure rates by transaction type, region, channel and provider, plus failure reasons.</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Customer/merchant analysis — segment, customer and merchant activity and value concentration.</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Risk analysis — distribution of risk scores and relationships with velocity, device changes, failed attempts and amount.</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Anomaly analysis — large-value transactions and balance reconciliation.</w:t>
      </w:r>
    </w:p>
    <w:p w:rsidR="003D234F" w:rsidRPr="00934BDB" w:rsidRDefault="00517C18" w:rsidP="00934BDB">
      <w:pPr>
        <w:numPr>
          <w:ilvl w:val="0"/>
          <w:numId w:val="1"/>
        </w:numPr>
        <w:pBdr>
          <w:top w:val="nil"/>
          <w:left w:val="nil"/>
          <w:bottom w:val="nil"/>
          <w:right w:val="nil"/>
          <w:between w:val="nil"/>
        </w:pBdr>
        <w:spacing w:after="80" w:line="360" w:lineRule="auto"/>
        <w:rPr>
          <w:rFonts w:asciiTheme="majorBidi" w:hAnsiTheme="majorBidi" w:cstheme="majorBidi"/>
          <w:sz w:val="24"/>
          <w:szCs w:val="24"/>
        </w:rPr>
      </w:pPr>
      <w:proofErr w:type="spellStart"/>
      <w:r w:rsidRPr="00934BDB">
        <w:rPr>
          <w:rFonts w:asciiTheme="majorBidi" w:hAnsiTheme="majorBidi" w:cstheme="majorBidi"/>
          <w:color w:val="000000"/>
          <w:sz w:val="24"/>
          <w:szCs w:val="24"/>
        </w:rPr>
        <w:t>Dashboarding</w:t>
      </w:r>
      <w:proofErr w:type="spellEnd"/>
      <w:r w:rsidRPr="00934BDB">
        <w:rPr>
          <w:rFonts w:asciiTheme="majorBidi" w:hAnsiTheme="majorBidi" w:cstheme="majorBidi"/>
          <w:color w:val="000000"/>
          <w:sz w:val="24"/>
          <w:szCs w:val="24"/>
        </w:rPr>
        <w:t xml:space="preserve"> — Tableau was used to communicate the findings visually and support interactive investigation.</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4.1 Balance anomaly check</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For transaction types where the amount should affect the customer balance, an expected balance was calculated. For Cash-In, expected balance equals balance before plus amount; for Cash-Out, Bank Transfer, Bill Payment, Merchant Payment and P2P Transfer, expected balance equals balance before minus amount. A balance anomaly was flagged when the absolute difference between recorded and expected balance exceeded GHS 0.01. This rule is an analytical check and should be validated against the </w:t>
      </w:r>
      <w:proofErr w:type="spellStart"/>
      <w:r w:rsidRPr="00934BDB">
        <w:rPr>
          <w:rFonts w:asciiTheme="majorBidi" w:hAnsiTheme="majorBidi" w:cstheme="majorBidi"/>
          <w:sz w:val="24"/>
          <w:szCs w:val="24"/>
        </w:rPr>
        <w:t>fintech's</w:t>
      </w:r>
      <w:proofErr w:type="spellEnd"/>
      <w:r w:rsidRPr="00934BDB">
        <w:rPr>
          <w:rFonts w:asciiTheme="majorBidi" w:hAnsiTheme="majorBidi" w:cstheme="majorBidi"/>
          <w:sz w:val="24"/>
          <w:szCs w:val="24"/>
        </w:rPr>
        <w:t xml:space="preserve"> actual posting and reversal rules.</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 Findings and Dashboard Analysis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5.1 Overall transaction profile</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portfolio contains 1,500 transactions with a total stated value of GHS 330,082.73. Success accounts for 79.4% of transaction rows, while 14.4% are failed, 4.2% reversed and 2.0% pending.</w:t>
      </w:r>
    </w:p>
    <w:tbl>
      <w:tblPr>
        <w:tblStyle w:val="a3"/>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D234F" w:rsidRPr="00934BDB">
        <w:trPr>
          <w:jc w:val="center"/>
        </w:trPr>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Status</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Transactions</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Share</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1191</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79.4%</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FAILED</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216</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14.4%</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REVERSED</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63</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4.2%</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PENDING</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30</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2.0%</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An important distinction is that transaction count and transaction value tell different stories. Failed and reversed transactions represent a smaller share of rows than successful transactions, but they still represent a material share of the stated transaction value. This is why a </w:t>
      </w:r>
      <w:proofErr w:type="spellStart"/>
      <w:r w:rsidRPr="00934BDB">
        <w:rPr>
          <w:rFonts w:asciiTheme="majorBidi" w:hAnsiTheme="majorBidi" w:cstheme="majorBidi"/>
          <w:sz w:val="24"/>
          <w:szCs w:val="24"/>
        </w:rPr>
        <w:t>fintech</w:t>
      </w:r>
      <w:proofErr w:type="spellEnd"/>
      <w:r w:rsidRPr="00934BDB">
        <w:rPr>
          <w:rFonts w:asciiTheme="majorBidi" w:hAnsiTheme="majorBidi" w:cstheme="majorBidi"/>
          <w:sz w:val="24"/>
          <w:szCs w:val="24"/>
        </w:rPr>
        <w:t xml:space="preserve"> should monitor both counts and value.</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5.2 Transaction mix, channel and geography</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P2P Transfer is the largest transaction category by both count and value, with 463 transactions and GHS 117,901.02, representing 35.7% of total stated value. The Mobile App is the dominant channel with 611 transactions (40.7% of rows) and GHS 169,908.12 (51.5% of value).</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Geographically, Greater Accra leads with GHS 93,882.40, followed by Eastern with GHS 76,221.84. Together, these two regions account for 51.5% of stated transaction value. This indicates a strong geographic concentration and creates both growth opportunities and concentration risk.</w:t>
      </w:r>
    </w:p>
    <w:tbl>
      <w:tblPr>
        <w:tblStyle w:val="a4"/>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3D234F" w:rsidRPr="00934BDB">
        <w:trPr>
          <w:jc w:val="center"/>
        </w:trPr>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 type</w:t>
            </w:r>
          </w:p>
        </w:tc>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Transactions</w:t>
            </w:r>
          </w:p>
        </w:tc>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Value (GHS)</w:t>
            </w:r>
          </w:p>
        </w:tc>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Failure rate</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463</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117,901.02</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16.8%</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Bank Transfer</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217</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51,218.60</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14.3%</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Cash-Out</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172</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47,052.45</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19.2%</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Merchant Payment</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324</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45,678.76</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13.6%</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Cash-In</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196</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41,776.37</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9.2%</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Bill Payment</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128</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26,455.53</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9.4%</w:t>
            </w:r>
          </w:p>
        </w:tc>
      </w:tr>
    </w:tbl>
    <w:p w:rsidR="003D234F" w:rsidRPr="00934BDB" w:rsidRDefault="003D234F" w:rsidP="00934BDB">
      <w:pPr>
        <w:spacing w:line="360" w:lineRule="auto"/>
        <w:rPr>
          <w:rFonts w:asciiTheme="majorBidi" w:hAnsiTheme="majorBidi" w:cstheme="majorBidi"/>
          <w:sz w:val="24"/>
          <w:szCs w:val="24"/>
        </w:rPr>
      </w:pPr>
    </w:p>
    <w:tbl>
      <w:tblPr>
        <w:tblStyle w:val="a5"/>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3D234F" w:rsidRPr="00934BDB">
        <w:trPr>
          <w:jc w:val="center"/>
        </w:trPr>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Region</w:t>
            </w:r>
          </w:p>
        </w:tc>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Transactions</w:t>
            </w:r>
          </w:p>
        </w:tc>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Value (GHS)</w:t>
            </w:r>
          </w:p>
        </w:tc>
        <w:tc>
          <w:tcPr>
            <w:tcW w:w="25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Failure rate</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Greater Accra</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544</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93,882.40</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14.2%</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Eastern</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178</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76,221.84</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14.0%</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Ashanti</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319</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44,663.85</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16.0%</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Central</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147</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43,049.00</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11.6%</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Western</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109</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27,102.93</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11.0%</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Northern</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89</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21,034.15</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19.1%</w:t>
            </w:r>
          </w:p>
        </w:tc>
      </w:tr>
      <w:tr w:rsidR="003D234F" w:rsidRPr="00934BDB">
        <w:trPr>
          <w:jc w:val="center"/>
        </w:trPr>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Volta</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64</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17,641.24</w:t>
            </w:r>
          </w:p>
        </w:tc>
        <w:tc>
          <w:tcPr>
            <w:tcW w:w="25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12.5%</w:t>
            </w:r>
          </w:p>
        </w:tc>
      </w:tr>
      <w:tr w:rsidR="003D234F" w:rsidRPr="00934BDB">
        <w:trPr>
          <w:jc w:val="center"/>
        </w:trPr>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Bono</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49</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6,347.09</w:t>
            </w:r>
          </w:p>
        </w:tc>
        <w:tc>
          <w:tcPr>
            <w:tcW w:w="25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18.4%</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3D234F" w:rsidP="00934BDB">
      <w:pPr>
        <w:spacing w:line="360" w:lineRule="auto"/>
        <w:jc w:val="center"/>
        <w:rPr>
          <w:rFonts w:asciiTheme="majorBidi" w:hAnsiTheme="majorBidi" w:cstheme="majorBidi"/>
          <w:sz w:val="24"/>
          <w:szCs w:val="24"/>
        </w:rPr>
      </w:pP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5.3 Transaction timing and trends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Transaction volume is highest on Sunday with 257 transactions, while transaction value is highest on Tuesday at GHS 60,081.51. The difference between the day with the most transactions and the day with the most value shows why volume alone is insufficient: fewer transactions can still generate more monetary value if their average size is larger.</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At hourly level, 22:00 records the highest transaction count (76), while 13:00 records the highest transaction value (GHS 41,872.97). The large intraday variation supports time-based monitoring and staffing, especially around high-value peaks.</w:t>
      </w:r>
    </w:p>
    <w:tbl>
      <w:tblPr>
        <w:tblStyle w:val="a6"/>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D234F" w:rsidRPr="00934BDB">
        <w:trPr>
          <w:jc w:val="center"/>
        </w:trPr>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Day</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Transactions</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Value (GHS)</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Monday</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253</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55,438.36</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Tuesday</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201</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60,081.51</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Wednesday</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180</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36,568.50</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Thursday</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198</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42,221.32</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Friday</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172</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34,962.84</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Saturday</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239</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59,883.26</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Sunday</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257</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40,926.94</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3D234F" w:rsidP="00934BDB">
      <w:pPr>
        <w:spacing w:line="360" w:lineRule="auto"/>
        <w:jc w:val="center"/>
        <w:rPr>
          <w:rFonts w:asciiTheme="majorBidi" w:hAnsiTheme="majorBidi" w:cstheme="majorBidi"/>
          <w:sz w:val="24"/>
          <w:szCs w:val="24"/>
        </w:rPr>
      </w:pP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i/>
          <w:iCs/>
          <w:color w:val="5F6368"/>
          <w:sz w:val="24"/>
          <w:szCs w:val="24"/>
        </w:rPr>
        <w:t>Figure 3. Tableau dashboard: transaction count/value by day and hour.</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5.4 Failed-transaction patterns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overall failure rate is 14.4%. Cash-Out has the highest failure rate at 19.19%, followed by P2P Transfer at 16.85%. By region, Northern has the highest failure rate at 19.10%, while Western has the lowest at 11.01%.</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Among channels, USSD has the highest failure rate at 14.97%, while API has the lowest at 12.12%. Among providers, </w:t>
      </w:r>
      <w:proofErr w:type="spellStart"/>
      <w:r w:rsidRPr="00934BDB">
        <w:rPr>
          <w:rFonts w:asciiTheme="majorBidi" w:hAnsiTheme="majorBidi" w:cstheme="majorBidi"/>
          <w:sz w:val="24"/>
          <w:szCs w:val="24"/>
        </w:rPr>
        <w:t>ApexMoney</w:t>
      </w:r>
      <w:proofErr w:type="spellEnd"/>
      <w:r w:rsidRPr="00934BDB">
        <w:rPr>
          <w:rFonts w:asciiTheme="majorBidi" w:hAnsiTheme="majorBidi" w:cstheme="majorBidi"/>
          <w:sz w:val="24"/>
          <w:szCs w:val="24"/>
        </w:rPr>
        <w:t xml:space="preserve"> has the highest failure rate at 16.60%. These differences point to targeted operational investigations rather than a one-size-fits-all fix.</w:t>
      </w:r>
    </w:p>
    <w:tbl>
      <w:tblPr>
        <w:tblStyle w:val="a7"/>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D234F" w:rsidRPr="00934BDB">
        <w:trPr>
          <w:jc w:val="center"/>
        </w:trPr>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Failure / reversal reason</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Count</w:t>
            </w:r>
          </w:p>
        </w:tc>
        <w:tc>
          <w:tcPr>
            <w:tcW w:w="33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Share of coded failures/reversals</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Insufficient Funds</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90</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32.3%</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Network Timeout</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38</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13.6%</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Validation Error</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28</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10.0%</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Limit Exceeded</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26</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9.3%</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Settlement Failure</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22</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7.9%</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Duplicate Transaction</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21</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7.5%</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Invalid PIN</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20</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7.2%</w:t>
            </w:r>
          </w:p>
        </w:tc>
      </w:tr>
      <w:tr w:rsidR="003D234F" w:rsidRPr="00934BDB">
        <w:trPr>
          <w:jc w:val="center"/>
        </w:trPr>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Service Unavailable</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w:t>
            </w:r>
          </w:p>
        </w:tc>
        <w:tc>
          <w:tcPr>
            <w:tcW w:w="33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6.8%</w:t>
            </w:r>
          </w:p>
        </w:tc>
      </w:tr>
      <w:tr w:rsidR="003D234F" w:rsidRPr="00934BDB">
        <w:trPr>
          <w:jc w:val="center"/>
        </w:trPr>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Recipient Unavailable</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15</w:t>
            </w:r>
          </w:p>
        </w:tc>
        <w:tc>
          <w:tcPr>
            <w:tcW w:w="33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5.4%</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Insufficient Funds is the most common coded reason, with 90 cases (32.3% of coded failure/reversal records). Network Timeout is the second most common. This suggests two different intervention areas: customer/account-level controls for funding-related failures and infrastructure/provider monitoring for network-related failures.</w:t>
      </w:r>
    </w:p>
    <w:p w:rsidR="003D234F" w:rsidRPr="00934BDB" w:rsidRDefault="003D234F" w:rsidP="00934BDB">
      <w:pPr>
        <w:spacing w:line="360" w:lineRule="auto"/>
        <w:jc w:val="center"/>
        <w:rPr>
          <w:rFonts w:asciiTheme="majorBidi" w:hAnsiTheme="majorBidi" w:cstheme="majorBidi"/>
          <w:sz w:val="24"/>
          <w:szCs w:val="24"/>
        </w:rPr>
      </w:pP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i/>
          <w:iCs/>
          <w:color w:val="5F6368"/>
          <w:sz w:val="24"/>
          <w:szCs w:val="24"/>
        </w:rPr>
        <w:t>Figure 4. Tableau dashboard: failure rates and failure reasons.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5.5 Customer segment insights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Consumer records account for 973 transaction rows, followed by Microbusiness (359) and SME (168). Consumer records also carry the largest stated value at GHS 237,116.52.</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However, the segment analysis reveals an important data-quality issue: 233 of 298 unique customer IDs appear in more than one customer segment during the month. Therefore, the segment labels should not be treated as a stable customer attribute without validation. The dashboard's row counts should also not be described as 'number of customers' unless COUNTD(</w:t>
      </w:r>
      <w:proofErr w:type="spellStart"/>
      <w:r w:rsidRPr="00934BDB">
        <w:rPr>
          <w:rFonts w:asciiTheme="majorBidi" w:hAnsiTheme="majorBidi" w:cstheme="majorBidi"/>
          <w:sz w:val="24"/>
          <w:szCs w:val="24"/>
        </w:rPr>
        <w:t>customer_id</w:t>
      </w:r>
      <w:proofErr w:type="spellEnd"/>
      <w:r w:rsidRPr="00934BDB">
        <w:rPr>
          <w:rFonts w:asciiTheme="majorBidi" w:hAnsiTheme="majorBidi" w:cstheme="majorBidi"/>
          <w:sz w:val="24"/>
          <w:szCs w:val="24"/>
        </w:rPr>
        <w:t>) is used.</w:t>
      </w:r>
    </w:p>
    <w:tbl>
      <w:tblPr>
        <w:tblStyle w:val="a8"/>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2016"/>
        <w:gridCol w:w="2016"/>
        <w:gridCol w:w="2016"/>
        <w:gridCol w:w="2016"/>
      </w:tblGrid>
      <w:tr w:rsidR="003D234F" w:rsidRPr="00934BDB">
        <w:trPr>
          <w:jc w:val="center"/>
        </w:trPr>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Segment</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 rows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Unique customer IDs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Value (GHS)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Avg. risk</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Consumer</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973</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288</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237,116.52</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64.6</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Microbusiness</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359</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206</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61,141.77</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63.0</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SME</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168</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122</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31,824.44</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63.6</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3D234F" w:rsidP="00934BDB">
      <w:pPr>
        <w:spacing w:line="360" w:lineRule="auto"/>
        <w:jc w:val="center"/>
        <w:rPr>
          <w:rFonts w:asciiTheme="majorBidi" w:hAnsiTheme="majorBidi" w:cstheme="majorBidi"/>
          <w:sz w:val="24"/>
          <w:szCs w:val="24"/>
        </w:rPr>
      </w:pPr>
    </w:p>
    <w:p w:rsidR="003D234F" w:rsidRPr="00934BDB" w:rsidRDefault="00517C18" w:rsidP="00934BDB">
      <w:pPr>
        <w:spacing w:line="360" w:lineRule="auto"/>
        <w:jc w:val="center"/>
        <w:rPr>
          <w:rFonts w:asciiTheme="majorBidi" w:hAnsiTheme="majorBidi" w:cstheme="majorBidi"/>
          <w:sz w:val="24"/>
          <w:szCs w:val="24"/>
        </w:rPr>
      </w:pPr>
      <w:r w:rsidRPr="00934BDB">
        <w:rPr>
          <w:rFonts w:asciiTheme="majorBidi" w:hAnsiTheme="majorBidi" w:cstheme="majorBidi"/>
          <w:i/>
          <w:iCs/>
          <w:color w:val="5F6368"/>
          <w:sz w:val="24"/>
          <w:szCs w:val="24"/>
        </w:rPr>
        <w:t>Figure 5. Tableau dashboard: customer segment and transaction-type analysis.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5.6 Risk and suspicious-</w:t>
      </w:r>
      <w:proofErr w:type="spellStart"/>
      <w:r w:rsidRPr="00934BDB">
        <w:rPr>
          <w:rFonts w:asciiTheme="majorBidi" w:hAnsiTheme="majorBidi" w:cstheme="majorBidi"/>
          <w:color w:val="15274B"/>
          <w:sz w:val="24"/>
          <w:szCs w:val="24"/>
        </w:rPr>
        <w:t>behaviour</w:t>
      </w:r>
      <w:proofErr w:type="spellEnd"/>
      <w:r w:rsidRPr="00934BDB">
        <w:rPr>
          <w:rFonts w:asciiTheme="majorBidi" w:hAnsiTheme="majorBidi" w:cstheme="majorBidi"/>
          <w:color w:val="15274B"/>
          <w:sz w:val="24"/>
          <w:szCs w:val="24"/>
        </w:rPr>
        <w:t xml:space="preserve"> analysis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Risk scores range from 14.4 to 99.0, with a mean of 64.1. There are 308 very-high-risk transactions (score ≥80), representing 20.5% of all transaction rows. Importantly, risk is not simply a synonym for failure: many high-risk transactions are successful.</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Of the 308 very-high-risk transactions, 237 are successful. This is operationally important because a fraud or risk-monitoring system that only reviews failed transactions would miss a substantial number of high-risk successful transactions.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risk indicators show a strong monotonic pattern. Average risk rises from 48.6 at velocity 1 to 77.5 at velocity 5. Average risk rises from 54.3 with no device changes to 74.2 with two device changes. Similarly, average risk rises from 52.8 with no failed attempts to 76.8 with three failed attempts.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These relationships suggest that velocity, device changes and repeated failed attempts are useful </w:t>
      </w:r>
      <w:proofErr w:type="spellStart"/>
      <w:r w:rsidRPr="00934BDB">
        <w:rPr>
          <w:rFonts w:asciiTheme="majorBidi" w:hAnsiTheme="majorBidi" w:cstheme="majorBidi"/>
          <w:sz w:val="24"/>
          <w:szCs w:val="24"/>
        </w:rPr>
        <w:t>behavioural</w:t>
      </w:r>
      <w:proofErr w:type="spellEnd"/>
      <w:r w:rsidRPr="00934BDB">
        <w:rPr>
          <w:rFonts w:asciiTheme="majorBidi" w:hAnsiTheme="majorBidi" w:cstheme="majorBidi"/>
          <w:sz w:val="24"/>
          <w:szCs w:val="24"/>
        </w:rPr>
        <w:t xml:space="preserve"> signals for risk scoring. They should be monitored jointly rather than used independently.</w:t>
      </w:r>
    </w:p>
    <w:p w:rsidR="003D234F" w:rsidRPr="00934BDB" w:rsidRDefault="003D234F" w:rsidP="00934BDB">
      <w:pPr>
        <w:spacing w:line="360" w:lineRule="auto"/>
        <w:jc w:val="center"/>
        <w:rPr>
          <w:rFonts w:asciiTheme="majorBidi" w:hAnsiTheme="majorBidi" w:cstheme="majorBidi"/>
          <w:sz w:val="24"/>
          <w:szCs w:val="24"/>
        </w:rPr>
      </w:pP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 xml:space="preserve">6. Key Anomalies and Suspicious </w:t>
      </w:r>
      <w:proofErr w:type="spellStart"/>
      <w:r w:rsidRPr="00934BDB">
        <w:rPr>
          <w:rFonts w:asciiTheme="majorBidi" w:hAnsiTheme="majorBidi" w:cstheme="majorBidi"/>
          <w:color w:val="15274B"/>
          <w:sz w:val="24"/>
          <w:szCs w:val="24"/>
        </w:rPr>
        <w:t>Behaviour</w:t>
      </w:r>
      <w:proofErr w:type="spellEnd"/>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6.1 High-value outliers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transaction amount distribution is highly skewed. The median transaction is GHS 77.51, whereas the maximum is GHS 14,917.47. The maximum is therefore roughly 192 times the median. Only 20 transactions are at least GHS 1,000, but they account for a disproportionate amount of transaction value and deserve review.</w:t>
      </w:r>
    </w:p>
    <w:tbl>
      <w:tblPr>
        <w:tblStyle w:val="a9"/>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260"/>
        <w:gridCol w:w="1260"/>
        <w:gridCol w:w="1260"/>
        <w:gridCol w:w="1260"/>
        <w:gridCol w:w="1260"/>
        <w:gridCol w:w="1260"/>
        <w:gridCol w:w="1260"/>
      </w:tblGrid>
      <w:tr w:rsidR="003D234F" w:rsidRPr="00934BDB">
        <w:trPr>
          <w:jc w:val="center"/>
        </w:trPr>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 ID</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Type</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Amount (GHS)</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Status</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Risk</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Velocity</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Device changes</w:t>
            </w:r>
          </w:p>
        </w:tc>
        <w:tc>
          <w:tcPr>
            <w:tcW w:w="126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Failed attempts</w:t>
            </w:r>
          </w:p>
        </w:tc>
      </w:tr>
      <w:tr w:rsidR="003D234F" w:rsidRPr="00934BDB">
        <w:trPr>
          <w:jc w:val="center"/>
        </w:trPr>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TXN000479</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Cash-Out</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14,917.47</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67.2</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r>
      <w:tr w:rsidR="003D234F" w:rsidRPr="00934BDB">
        <w:trPr>
          <w:jc w:val="center"/>
        </w:trPr>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TXN000849</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14,715.59</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73.3</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r>
      <w:tr w:rsidR="003D234F" w:rsidRPr="00934BDB">
        <w:trPr>
          <w:jc w:val="center"/>
        </w:trPr>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TXN000607</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Cash-Out</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12,409.52</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FAILED</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71.3</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r>
      <w:tr w:rsidR="003D234F" w:rsidRPr="00934BDB">
        <w:trPr>
          <w:jc w:val="center"/>
        </w:trPr>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TXN000690</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Bill Payment</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12,367.19</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77.5</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w:t>
            </w:r>
          </w:p>
        </w:tc>
      </w:tr>
      <w:tr w:rsidR="003D234F" w:rsidRPr="00934BDB">
        <w:trPr>
          <w:jc w:val="center"/>
        </w:trPr>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TXN000248</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Cash-In</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11,751.48</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90.1</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w:t>
            </w:r>
          </w:p>
        </w:tc>
      </w:tr>
      <w:tr w:rsidR="003D234F" w:rsidRPr="00934BDB">
        <w:trPr>
          <w:jc w:val="center"/>
        </w:trPr>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TXN000890</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11,324.53</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FAILED</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88.7</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r>
      <w:tr w:rsidR="003D234F" w:rsidRPr="00934BDB">
        <w:trPr>
          <w:jc w:val="center"/>
        </w:trPr>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TXN001160</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11,176.04</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REVERSED</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73.4</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c>
          <w:tcPr>
            <w:tcW w:w="126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w:t>
            </w:r>
          </w:p>
        </w:tc>
      </w:tr>
      <w:tr w:rsidR="003D234F" w:rsidRPr="00934BDB">
        <w:trPr>
          <w:jc w:val="center"/>
        </w:trPr>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TXN001361</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Merchant Payment</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10,402.35</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86.7</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c>
          <w:tcPr>
            <w:tcW w:w="126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6.2 Balance-reconciliation anomalies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 balance </w:t>
      </w:r>
      <w:proofErr w:type="gramStart"/>
      <w:r w:rsidRPr="00934BDB">
        <w:rPr>
          <w:rFonts w:asciiTheme="majorBidi" w:hAnsiTheme="majorBidi" w:cstheme="majorBidi"/>
          <w:sz w:val="24"/>
          <w:szCs w:val="24"/>
        </w:rPr>
        <w:t>check</w:t>
      </w:r>
      <w:proofErr w:type="gramEnd"/>
      <w:r w:rsidRPr="00934BDB">
        <w:rPr>
          <w:rFonts w:asciiTheme="majorBidi" w:hAnsiTheme="majorBidi" w:cstheme="majorBidi"/>
          <w:sz w:val="24"/>
          <w:szCs w:val="24"/>
        </w:rPr>
        <w:t xml:space="preserve"> flags 9 successful transactions where the recorded balance after the transaction does not reconcile with the expected balance using the transaction amount. Several discrepancies are extreme: for example, TXN000479 shows GHS 14,917.47 being withdrawn from a pre-transaction balance of GHS 708.51, yet the recorded balance after is GHS 677.46. This is a clear data-integrity or business-rule exception that should be investigated rather than automatically labelled fraud.</w:t>
      </w:r>
    </w:p>
    <w:tbl>
      <w:tblPr>
        <w:tblStyle w:val="a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gridCol w:w="1440"/>
      </w:tblGrid>
      <w:tr w:rsidR="003D234F" w:rsidRPr="00934BDB">
        <w:trPr>
          <w:jc w:val="center"/>
        </w:trPr>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w:t>
            </w:r>
          </w:p>
        </w:tc>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Type</w:t>
            </w:r>
          </w:p>
        </w:tc>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Amount</w:t>
            </w:r>
          </w:p>
        </w:tc>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Balance before</w:t>
            </w:r>
          </w:p>
        </w:tc>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Balance after</w:t>
            </w:r>
          </w:p>
        </w:tc>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Balance difference</w:t>
            </w:r>
          </w:p>
        </w:tc>
        <w:tc>
          <w:tcPr>
            <w:tcW w:w="14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Risk</w:t>
            </w:r>
          </w:p>
        </w:tc>
      </w:tr>
      <w:tr w:rsidR="003D234F" w:rsidRPr="00934BDB">
        <w:trPr>
          <w:jc w:val="center"/>
        </w:trPr>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TXN000479</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Cash-Out</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14,917.47</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708.51</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677.46</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14,886.42</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67.2</w:t>
            </w:r>
          </w:p>
        </w:tc>
      </w:tr>
      <w:tr w:rsidR="003D234F" w:rsidRPr="00934BDB">
        <w:trPr>
          <w:jc w:val="center"/>
        </w:trPr>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TXN000849</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14,715.59</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371.53</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339.88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14,683.94</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73.3</w:t>
            </w:r>
          </w:p>
        </w:tc>
      </w:tr>
      <w:tr w:rsidR="003D234F" w:rsidRPr="00934BDB">
        <w:trPr>
          <w:jc w:val="center"/>
        </w:trPr>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TXN000690</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Bill Payment</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12,367.19</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2,819.84</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2,662.05</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12,209.40</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77.5</w:t>
            </w:r>
          </w:p>
        </w:tc>
      </w:tr>
      <w:tr w:rsidR="003D234F" w:rsidRPr="00934BDB">
        <w:trPr>
          <w:jc w:val="center"/>
        </w:trPr>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TXN000248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Cash-In</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11,751.48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816.68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1,077.74</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-11,490.42</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90.1</w:t>
            </w:r>
          </w:p>
        </w:tc>
      </w:tr>
      <w:tr w:rsidR="003D234F" w:rsidRPr="00934BDB">
        <w:trPr>
          <w:jc w:val="center"/>
        </w:trPr>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TXN001361</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Merchant Payment</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10,402.35</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331.65</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286.93</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10,357.63</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86.7</w:t>
            </w:r>
          </w:p>
        </w:tc>
      </w:tr>
      <w:tr w:rsidR="003D234F" w:rsidRPr="00934BDB">
        <w:trPr>
          <w:jc w:val="center"/>
        </w:trPr>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TXN000257</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10,017.81</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1,341.49</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1,173.16</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9,849.48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68.8</w:t>
            </w:r>
          </w:p>
        </w:tc>
      </w:tr>
      <w:tr w:rsidR="003D234F" w:rsidRPr="00934BDB">
        <w:trPr>
          <w:jc w:val="center"/>
        </w:trPr>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TXN000483</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Bank Transfer</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8,166.55</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478.63</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438.83</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8,126.75</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89.4</w:t>
            </w:r>
          </w:p>
        </w:tc>
      </w:tr>
      <w:tr w:rsidR="003D234F" w:rsidRPr="00934BDB">
        <w:trPr>
          <w:jc w:val="center"/>
        </w:trPr>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TXN000674</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P2P Transfer</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7,358.18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813.71</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456.18</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7,000.65</w:t>
            </w:r>
          </w:p>
        </w:tc>
        <w:tc>
          <w:tcPr>
            <w:tcW w:w="14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77.3</w:t>
            </w:r>
          </w:p>
        </w:tc>
      </w:tr>
      <w:tr w:rsidR="003D234F" w:rsidRPr="00934BDB">
        <w:trPr>
          <w:jc w:val="center"/>
        </w:trPr>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TXN001334</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Bank Transfer</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160.78</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553.55</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267.77</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-125.00</w:t>
            </w:r>
          </w:p>
        </w:tc>
        <w:tc>
          <w:tcPr>
            <w:tcW w:w="14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53.9</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6.3 Priority suspicious transactions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A focused </w:t>
      </w:r>
      <w:proofErr w:type="spellStart"/>
      <w:r w:rsidRPr="00934BDB">
        <w:rPr>
          <w:rFonts w:asciiTheme="majorBidi" w:hAnsiTheme="majorBidi" w:cstheme="majorBidi"/>
          <w:sz w:val="24"/>
          <w:szCs w:val="24"/>
        </w:rPr>
        <w:t>watchlist</w:t>
      </w:r>
      <w:proofErr w:type="spellEnd"/>
      <w:r w:rsidRPr="00934BDB">
        <w:rPr>
          <w:rFonts w:asciiTheme="majorBidi" w:hAnsiTheme="majorBidi" w:cstheme="majorBidi"/>
          <w:sz w:val="24"/>
          <w:szCs w:val="24"/>
        </w:rPr>
        <w:t xml:space="preserve"> can be created by combining high risk (≥80) and high value (≥GHS 1,000). There are 8 such transactions. Three of these are successful, meaning they deserve particular attention because the transaction completed despite a combination of high monetary value and high risk score.</w:t>
      </w:r>
    </w:p>
    <w:tbl>
      <w:tblPr>
        <w:tblStyle w:val="ab"/>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0"/>
        <w:gridCol w:w="1120"/>
        <w:gridCol w:w="1120"/>
        <w:gridCol w:w="1120"/>
        <w:gridCol w:w="1120"/>
        <w:gridCol w:w="1120"/>
        <w:gridCol w:w="1120"/>
        <w:gridCol w:w="1120"/>
        <w:gridCol w:w="1120"/>
      </w:tblGrid>
      <w:tr w:rsidR="003D234F" w:rsidRPr="00934BDB">
        <w:trPr>
          <w:jc w:val="center"/>
        </w:trPr>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Customer</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Type</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Amount</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Status</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Risk</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Velocity</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Devices</w:t>
            </w:r>
          </w:p>
        </w:tc>
        <w:tc>
          <w:tcPr>
            <w:tcW w:w="112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Failed attempts</w:t>
            </w:r>
          </w:p>
        </w:tc>
      </w:tr>
      <w:tr w:rsidR="003D234F" w:rsidRPr="00934BDB">
        <w:trPr>
          <w:jc w:val="center"/>
        </w:trPr>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TXN000248</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CUST0114</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Cash-In</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11,751.48</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90.1</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w:t>
            </w:r>
          </w:p>
        </w:tc>
      </w:tr>
      <w:tr w:rsidR="003D234F" w:rsidRPr="00934BDB">
        <w:trPr>
          <w:jc w:val="center"/>
        </w:trPr>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TXN001361</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CUST0059</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Merchant Payment</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10,402.35</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86.7</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c>
          <w:tcPr>
            <w:tcW w:w="112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r>
      <w:tr w:rsidR="003D234F" w:rsidRPr="00934BDB">
        <w:trPr>
          <w:jc w:val="center"/>
        </w:trPr>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TXN000483</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CUST0017</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Bank Transfer</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8,166.55</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SUCCESS</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89.4</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w:t>
            </w:r>
          </w:p>
        </w:tc>
        <w:tc>
          <w:tcPr>
            <w:tcW w:w="112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These records should be treated as investigation candidates, not proof of fraud. A legitimate customer can make an unusually large or high-risk transaction. Confirmation would require contextual information such as authentication, device history, IP address, beneficiary history and prior transaction </w:t>
      </w:r>
      <w:proofErr w:type="spellStart"/>
      <w:r w:rsidRPr="00934BDB">
        <w:rPr>
          <w:rFonts w:asciiTheme="majorBidi" w:hAnsiTheme="majorBidi" w:cstheme="majorBidi"/>
          <w:sz w:val="24"/>
          <w:szCs w:val="24"/>
        </w:rPr>
        <w:t>behaviour</w:t>
      </w:r>
      <w:proofErr w:type="spellEnd"/>
      <w:r w:rsidRPr="00934BDB">
        <w:rPr>
          <w:rFonts w:asciiTheme="majorBidi" w:hAnsiTheme="majorBidi" w:cstheme="majorBidi"/>
          <w:sz w:val="24"/>
          <w:szCs w:val="24"/>
        </w:rPr>
        <w:t>.</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7. Customer and Merchant Insights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 xml:space="preserve">7.1 Customer </w:t>
      </w:r>
      <w:proofErr w:type="spellStart"/>
      <w:r w:rsidRPr="00934BDB">
        <w:rPr>
          <w:rFonts w:asciiTheme="majorBidi" w:hAnsiTheme="majorBidi" w:cstheme="majorBidi"/>
          <w:color w:val="15274B"/>
          <w:sz w:val="24"/>
          <w:szCs w:val="24"/>
        </w:rPr>
        <w:t>behaviour</w:t>
      </w:r>
      <w:proofErr w:type="spellEnd"/>
    </w:p>
    <w:tbl>
      <w:tblPr>
        <w:tblStyle w:val="ac"/>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2016"/>
        <w:gridCol w:w="2016"/>
        <w:gridCol w:w="2016"/>
        <w:gridCol w:w="2016"/>
      </w:tblGrid>
      <w:tr w:rsidR="003D234F" w:rsidRPr="00934BDB">
        <w:trPr>
          <w:jc w:val="center"/>
        </w:trPr>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Customer</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Value (GHS)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b/>
                <w:bCs/>
                <w:color w:val="FFFFFF"/>
                <w:sz w:val="24"/>
                <w:szCs w:val="24"/>
              </w:rPr>
              <w:t>Avg</w:t>
            </w:r>
            <w:proofErr w:type="spellEnd"/>
            <w:r w:rsidRPr="00934BDB">
              <w:rPr>
                <w:rFonts w:asciiTheme="majorBidi" w:hAnsiTheme="majorBidi" w:cstheme="majorBidi"/>
                <w:b/>
                <w:bCs/>
                <w:color w:val="FFFFFF"/>
                <w:sz w:val="24"/>
                <w:szCs w:val="24"/>
              </w:rPr>
              <w:t xml:space="preserve"> risk</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Failed transactions</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CUST0230</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4</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20,092.86</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61.5</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CUST0018</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15,377.21</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66.4</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CUST0061</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14,988.35</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59.6</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CUST0176</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12,775.65</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71.6</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CUST0049</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10</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12,516.31</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76.1</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customer-level view shows that transaction value is concentrated in a relatively small number of customers. This is commercially useful for customer-value management, but the same customers may also create risk concentration when high-value activity is combined with elevated risk indicators.</w:t>
      </w:r>
    </w:p>
    <w:p w:rsidR="003D234F" w:rsidRPr="00934BDB" w:rsidRDefault="00517C18" w:rsidP="00934BDB">
      <w:pPr>
        <w:pStyle w:val="Heading2"/>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 xml:space="preserve">7.2 Merchant / agent </w:t>
      </w:r>
      <w:proofErr w:type="spellStart"/>
      <w:r w:rsidRPr="00934BDB">
        <w:rPr>
          <w:rFonts w:asciiTheme="majorBidi" w:hAnsiTheme="majorBidi" w:cstheme="majorBidi"/>
          <w:color w:val="15274B"/>
          <w:sz w:val="24"/>
          <w:szCs w:val="24"/>
        </w:rPr>
        <w:t>behaviour</w:t>
      </w:r>
      <w:proofErr w:type="spellEnd"/>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The dataset contains 80 unique merchant/agent IDs across 692 transaction rows. MER070 has the highest aggregate merchant/agent transaction value at GHS 19,730.88. Among merchants with at least five transactions, MER019 and MER068 have the highest observed failure rates at 37.5% and 37.5%, respectively.</w:t>
      </w:r>
    </w:p>
    <w:tbl>
      <w:tblPr>
        <w:tblStyle w:val="ad"/>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2016"/>
        <w:gridCol w:w="2016"/>
        <w:gridCol w:w="2016"/>
        <w:gridCol w:w="2016"/>
      </w:tblGrid>
      <w:tr w:rsidR="003D234F" w:rsidRPr="00934BDB">
        <w:trPr>
          <w:jc w:val="center"/>
        </w:trPr>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Merchant/agent</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Transactions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Value (GHS)</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Failure rate</w:t>
            </w:r>
          </w:p>
        </w:tc>
        <w:tc>
          <w:tcPr>
            <w:tcW w:w="2016"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proofErr w:type="spellStart"/>
            <w:r w:rsidRPr="00934BDB">
              <w:rPr>
                <w:rFonts w:asciiTheme="majorBidi" w:hAnsiTheme="majorBidi" w:cstheme="majorBidi"/>
                <w:b/>
                <w:bCs/>
                <w:color w:val="FFFFFF"/>
                <w:sz w:val="24"/>
                <w:szCs w:val="24"/>
              </w:rPr>
              <w:t>Avg</w:t>
            </w:r>
            <w:proofErr w:type="spellEnd"/>
            <w:r w:rsidRPr="00934BDB">
              <w:rPr>
                <w:rFonts w:asciiTheme="majorBidi" w:hAnsiTheme="majorBidi" w:cstheme="majorBidi"/>
                <w:b/>
                <w:bCs/>
                <w:color w:val="FFFFFF"/>
                <w:sz w:val="24"/>
                <w:szCs w:val="24"/>
              </w:rPr>
              <w:t xml:space="preserve"> risk</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MER070</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15</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19,730.88</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20.0%</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71.0</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MER010</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8</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15,434.96</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12.5%</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64.1</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MER046</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17</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14,604.11</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11.8%</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63.7</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MER033</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12,445.03</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18.2%</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67.6</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MER031</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2,693.16</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31.2%</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66.5</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MER077</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11</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1,973.29</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18.2%</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67.8</w:t>
            </w:r>
          </w:p>
        </w:tc>
      </w:tr>
      <w:tr w:rsidR="003D234F" w:rsidRPr="00934BDB">
        <w:trPr>
          <w:jc w:val="center"/>
        </w:trPr>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MER055</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1,872.55</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0.0%</w:t>
            </w:r>
          </w:p>
        </w:tc>
        <w:tc>
          <w:tcPr>
            <w:tcW w:w="2016"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59.3</w:t>
            </w:r>
          </w:p>
        </w:tc>
      </w:tr>
      <w:tr w:rsidR="003D234F" w:rsidRPr="00934BDB">
        <w:trPr>
          <w:jc w:val="center"/>
        </w:trPr>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MER067</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15</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1,694.81</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0.0%</w:t>
            </w:r>
          </w:p>
        </w:tc>
        <w:tc>
          <w:tcPr>
            <w:tcW w:w="2016"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60.3</w:t>
            </w:r>
          </w:p>
        </w:tc>
      </w:tr>
    </w:tbl>
    <w:p w:rsidR="003D234F" w:rsidRPr="00934BDB" w:rsidRDefault="003D234F" w:rsidP="00934BDB">
      <w:pPr>
        <w:spacing w:line="360" w:lineRule="auto"/>
        <w:jc w:val="center"/>
        <w:rPr>
          <w:rFonts w:asciiTheme="majorBidi" w:hAnsiTheme="majorBidi" w:cstheme="majorBidi"/>
          <w:sz w:val="24"/>
          <w:szCs w:val="24"/>
        </w:rPr>
      </w:pP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8. Potential Business Opportunities</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 xml:space="preserve">1. Reduce avoidable failures: </w:t>
      </w:r>
      <w:proofErr w:type="spellStart"/>
      <w:r w:rsidRPr="00934BDB">
        <w:rPr>
          <w:rFonts w:asciiTheme="majorBidi" w:hAnsiTheme="majorBidi" w:cstheme="majorBidi"/>
          <w:sz w:val="24"/>
          <w:szCs w:val="24"/>
        </w:rPr>
        <w:t>Prioritise</w:t>
      </w:r>
      <w:proofErr w:type="spellEnd"/>
      <w:r w:rsidRPr="00934BDB">
        <w:rPr>
          <w:rFonts w:asciiTheme="majorBidi" w:hAnsiTheme="majorBidi" w:cstheme="majorBidi"/>
          <w:sz w:val="24"/>
          <w:szCs w:val="24"/>
        </w:rPr>
        <w:t xml:space="preserve"> Cash-Out and P2P Transfer, Northern region and </w:t>
      </w:r>
      <w:proofErr w:type="spellStart"/>
      <w:r w:rsidRPr="00934BDB">
        <w:rPr>
          <w:rFonts w:asciiTheme="majorBidi" w:hAnsiTheme="majorBidi" w:cstheme="majorBidi"/>
          <w:sz w:val="24"/>
          <w:szCs w:val="24"/>
        </w:rPr>
        <w:t>ApexMoney</w:t>
      </w:r>
      <w:proofErr w:type="spellEnd"/>
      <w:r w:rsidRPr="00934BDB">
        <w:rPr>
          <w:rFonts w:asciiTheme="majorBidi" w:hAnsiTheme="majorBidi" w:cstheme="majorBidi"/>
          <w:sz w:val="24"/>
          <w:szCs w:val="24"/>
        </w:rPr>
        <w:t xml:space="preserve"> for root-cause analysis because they show comparatively high failure rates.</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 xml:space="preserve">2. Improve customer funding support: </w:t>
      </w:r>
      <w:r w:rsidRPr="00934BDB">
        <w:rPr>
          <w:rFonts w:asciiTheme="majorBidi" w:hAnsiTheme="majorBidi" w:cstheme="majorBidi"/>
          <w:sz w:val="24"/>
          <w:szCs w:val="24"/>
        </w:rPr>
        <w:t>Insufficient Funds accounts for 32.3% of coded failure/reversal records. Balance alerts, clearer funding prompts and transaction-limit education could reduce preventable failures.</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 xml:space="preserve">3. Strengthen real-time risk monitoring: </w:t>
      </w:r>
      <w:r w:rsidRPr="00934BDB">
        <w:rPr>
          <w:rFonts w:asciiTheme="majorBidi" w:hAnsiTheme="majorBidi" w:cstheme="majorBidi"/>
          <w:sz w:val="24"/>
          <w:szCs w:val="24"/>
        </w:rPr>
        <w:t xml:space="preserve">Combine risk score with velocity, device changes and failed attempts to identify </w:t>
      </w:r>
      <w:proofErr w:type="spellStart"/>
      <w:r w:rsidRPr="00934BDB">
        <w:rPr>
          <w:rFonts w:asciiTheme="majorBidi" w:hAnsiTheme="majorBidi" w:cstheme="majorBidi"/>
          <w:sz w:val="24"/>
          <w:szCs w:val="24"/>
        </w:rPr>
        <w:t>behaviour</w:t>
      </w:r>
      <w:proofErr w:type="spellEnd"/>
      <w:r w:rsidRPr="00934BDB">
        <w:rPr>
          <w:rFonts w:asciiTheme="majorBidi" w:hAnsiTheme="majorBidi" w:cstheme="majorBidi"/>
          <w:sz w:val="24"/>
          <w:szCs w:val="24"/>
        </w:rPr>
        <w:t xml:space="preserve"> that deserves step-up authentication or manual review.</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 xml:space="preserve">4. Protect high-value successful transactions: </w:t>
      </w:r>
      <w:r w:rsidRPr="00934BDB">
        <w:rPr>
          <w:rFonts w:asciiTheme="majorBidi" w:hAnsiTheme="majorBidi" w:cstheme="majorBidi"/>
          <w:sz w:val="24"/>
          <w:szCs w:val="24"/>
        </w:rPr>
        <w:t>Review high-risk successful transactions because completed transactions can still carry fraud or data-integrity risk.</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 xml:space="preserve">5. Develop channel-specific </w:t>
      </w:r>
      <w:proofErr w:type="spellStart"/>
      <w:r w:rsidRPr="00934BDB">
        <w:rPr>
          <w:rFonts w:asciiTheme="majorBidi" w:hAnsiTheme="majorBidi" w:cstheme="majorBidi"/>
          <w:b/>
          <w:bCs/>
          <w:color w:val="15274B"/>
          <w:sz w:val="24"/>
          <w:szCs w:val="24"/>
        </w:rPr>
        <w:t>optimisation</w:t>
      </w:r>
      <w:proofErr w:type="spellEnd"/>
      <w:r w:rsidRPr="00934BDB">
        <w:rPr>
          <w:rFonts w:asciiTheme="majorBidi" w:hAnsiTheme="majorBidi" w:cstheme="majorBidi"/>
          <w:b/>
          <w:bCs/>
          <w:color w:val="15274B"/>
          <w:sz w:val="24"/>
          <w:szCs w:val="24"/>
        </w:rPr>
        <w:t xml:space="preserve">: </w:t>
      </w:r>
      <w:r w:rsidRPr="00934BDB">
        <w:rPr>
          <w:rFonts w:asciiTheme="majorBidi" w:hAnsiTheme="majorBidi" w:cstheme="majorBidi"/>
          <w:sz w:val="24"/>
          <w:szCs w:val="24"/>
        </w:rPr>
        <w:t>The Mobile App carries more than half of stated transaction value. Improving its reliability and user experience can have a large commercial impact.</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15274B"/>
          <w:sz w:val="24"/>
          <w:szCs w:val="24"/>
        </w:rPr>
        <w:t xml:space="preserve">6. Target regional growth: </w:t>
      </w:r>
      <w:r w:rsidRPr="00934BDB">
        <w:rPr>
          <w:rFonts w:asciiTheme="majorBidi" w:hAnsiTheme="majorBidi" w:cstheme="majorBidi"/>
          <w:sz w:val="24"/>
          <w:szCs w:val="24"/>
        </w:rPr>
        <w:t>Greater Accra and Eastern dominate transaction value, while lower-volume regions such as Bono and Northern provide potential growth opportunities if service reliability can be improved.</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9. Recommendations</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Create a transaction-monitoring rule set that combines high amount, high risk, high velocity, device changes and repeated failed attempts.</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Introduce step-up verification for high-risk successful transactions, especially where monetary value is unusually high.</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Investigate Cash-Out and P2P failure causes separately rather than treating all transaction failures as one category.</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Review provider performance monthly using both transaction volume and failure rate; high volume should not automatically mean high quality.</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Build a data-quality control that enforces a unique transaction key and validates required fields before data reaches analytics dashboards.</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Validate customer-segment master data so that a customer is not unintentionally assigned to multiple segments.</w:t>
      </w:r>
    </w:p>
    <w:p w:rsidR="003D234F" w:rsidRPr="00934BDB" w:rsidRDefault="00517C18" w:rsidP="00934BDB">
      <w:pPr>
        <w:numPr>
          <w:ilvl w:val="0"/>
          <w:numId w:val="2"/>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Add balance-reconciliation checks to the transaction pipeline and alert on material differences between expected and recorded balances.</w:t>
      </w:r>
    </w:p>
    <w:p w:rsidR="003D234F" w:rsidRPr="00934BDB" w:rsidRDefault="00517C18" w:rsidP="00934BDB">
      <w:pPr>
        <w:numPr>
          <w:ilvl w:val="0"/>
          <w:numId w:val="2"/>
        </w:numPr>
        <w:pBdr>
          <w:top w:val="nil"/>
          <w:left w:val="nil"/>
          <w:bottom w:val="nil"/>
          <w:right w:val="nil"/>
          <w:between w:val="nil"/>
        </w:pBdr>
        <w:spacing w:after="80" w:line="360" w:lineRule="auto"/>
        <w:rPr>
          <w:rFonts w:asciiTheme="majorBidi" w:hAnsiTheme="majorBidi" w:cstheme="majorBidi"/>
          <w:sz w:val="24"/>
          <w:szCs w:val="24"/>
        </w:rPr>
      </w:pPr>
      <w:r w:rsidRPr="00934BDB">
        <w:rPr>
          <w:rFonts w:asciiTheme="majorBidi" w:hAnsiTheme="majorBidi" w:cstheme="majorBidi"/>
          <w:color w:val="000000"/>
          <w:sz w:val="24"/>
          <w:szCs w:val="24"/>
        </w:rPr>
        <w:t>Use COUNTD(</w:t>
      </w:r>
      <w:proofErr w:type="spellStart"/>
      <w:r w:rsidRPr="00934BDB">
        <w:rPr>
          <w:rFonts w:asciiTheme="majorBidi" w:hAnsiTheme="majorBidi" w:cstheme="majorBidi"/>
          <w:color w:val="000000"/>
          <w:sz w:val="24"/>
          <w:szCs w:val="24"/>
        </w:rPr>
        <w:t>customer_id</w:t>
      </w:r>
      <w:proofErr w:type="spellEnd"/>
      <w:r w:rsidRPr="00934BDB">
        <w:rPr>
          <w:rFonts w:asciiTheme="majorBidi" w:hAnsiTheme="majorBidi" w:cstheme="majorBidi"/>
          <w:color w:val="000000"/>
          <w:sz w:val="24"/>
          <w:szCs w:val="24"/>
        </w:rPr>
        <w:t>) for customer KPIs in Tableau and clearly distinguish transaction rows from unique customers.</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10. Limitations</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 xml:space="preserve">The dataset is fictional, so findings demonstrate analytical reasoning rather than real-world </w:t>
      </w:r>
      <w:proofErr w:type="spellStart"/>
      <w:r w:rsidRPr="00934BDB">
        <w:rPr>
          <w:rFonts w:asciiTheme="majorBidi" w:hAnsiTheme="majorBidi" w:cstheme="majorBidi"/>
          <w:color w:val="000000"/>
          <w:sz w:val="24"/>
          <w:szCs w:val="24"/>
        </w:rPr>
        <w:t>fintech</w:t>
      </w:r>
      <w:proofErr w:type="spellEnd"/>
      <w:r w:rsidRPr="00934BDB">
        <w:rPr>
          <w:rFonts w:asciiTheme="majorBidi" w:hAnsiTheme="majorBidi" w:cstheme="majorBidi"/>
          <w:color w:val="000000"/>
          <w:sz w:val="24"/>
          <w:szCs w:val="24"/>
        </w:rPr>
        <w:t xml:space="preserve"> performance.</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The dataset covers only August 2026, so seasonal and longer-term trends cannot be established.</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There are no confirmed fraud labels, so suspicious transactions cannot be classified as confirmed fraud.</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The risk score is supplied by the dataset; its underlying model and calibration are unknown.</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Customer segment inconsistency limits the reliability of segment-level customer conclusions.</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Several fields contain missing values, including one amount, one customer ID, one channel, one region and one device ID.</w:t>
      </w:r>
    </w:p>
    <w:p w:rsidR="003D234F" w:rsidRPr="00934BDB" w:rsidRDefault="00517C18" w:rsidP="00934BDB">
      <w:pPr>
        <w:numPr>
          <w:ilvl w:val="0"/>
          <w:numId w:val="1"/>
        </w:numPr>
        <w:pBdr>
          <w:top w:val="nil"/>
          <w:left w:val="nil"/>
          <w:bottom w:val="nil"/>
          <w:right w:val="nil"/>
          <w:between w:val="nil"/>
        </w:pBdr>
        <w:spacing w:after="0" w:line="360" w:lineRule="auto"/>
        <w:rPr>
          <w:rFonts w:asciiTheme="majorBidi" w:hAnsiTheme="majorBidi" w:cstheme="majorBidi"/>
          <w:sz w:val="24"/>
          <w:szCs w:val="24"/>
        </w:rPr>
      </w:pPr>
      <w:r w:rsidRPr="00934BDB">
        <w:rPr>
          <w:rFonts w:asciiTheme="majorBidi" w:hAnsiTheme="majorBidi" w:cstheme="majorBidi"/>
          <w:color w:val="000000"/>
          <w:sz w:val="24"/>
          <w:szCs w:val="24"/>
        </w:rPr>
        <w:t xml:space="preserve">Duplicate transaction IDs mean </w:t>
      </w:r>
      <w:proofErr w:type="spellStart"/>
      <w:r w:rsidRPr="00934BDB">
        <w:rPr>
          <w:rFonts w:asciiTheme="majorBidi" w:hAnsiTheme="majorBidi" w:cstheme="majorBidi"/>
          <w:color w:val="000000"/>
          <w:sz w:val="24"/>
          <w:szCs w:val="24"/>
        </w:rPr>
        <w:t>transaction_id</w:t>
      </w:r>
      <w:proofErr w:type="spellEnd"/>
      <w:r w:rsidRPr="00934BDB">
        <w:rPr>
          <w:rFonts w:asciiTheme="majorBidi" w:hAnsiTheme="majorBidi" w:cstheme="majorBidi"/>
          <w:color w:val="000000"/>
          <w:sz w:val="24"/>
          <w:szCs w:val="24"/>
        </w:rPr>
        <w:t xml:space="preserve"> should not be assumed to be the unique record key.</w:t>
      </w:r>
    </w:p>
    <w:p w:rsidR="003D234F" w:rsidRPr="00934BDB" w:rsidRDefault="00517C18" w:rsidP="00934BDB">
      <w:pPr>
        <w:numPr>
          <w:ilvl w:val="0"/>
          <w:numId w:val="1"/>
        </w:numPr>
        <w:pBdr>
          <w:top w:val="nil"/>
          <w:left w:val="nil"/>
          <w:bottom w:val="nil"/>
          <w:right w:val="nil"/>
          <w:between w:val="nil"/>
        </w:pBdr>
        <w:spacing w:after="80" w:line="360" w:lineRule="auto"/>
        <w:rPr>
          <w:rFonts w:asciiTheme="majorBidi" w:hAnsiTheme="majorBidi" w:cstheme="majorBidi"/>
          <w:sz w:val="24"/>
          <w:szCs w:val="24"/>
        </w:rPr>
      </w:pPr>
      <w:r w:rsidRPr="00934BDB">
        <w:rPr>
          <w:rFonts w:asciiTheme="majorBidi" w:hAnsiTheme="majorBidi" w:cstheme="majorBidi"/>
          <w:color w:val="000000"/>
          <w:sz w:val="24"/>
          <w:szCs w:val="24"/>
        </w:rPr>
        <w:t xml:space="preserve">Balance reconciliation uses an inferred transaction-direction rule and should be validated against the actual accounting rules of the </w:t>
      </w:r>
      <w:proofErr w:type="spellStart"/>
      <w:r w:rsidRPr="00934BDB">
        <w:rPr>
          <w:rFonts w:asciiTheme="majorBidi" w:hAnsiTheme="majorBidi" w:cstheme="majorBidi"/>
          <w:color w:val="000000"/>
          <w:sz w:val="24"/>
          <w:szCs w:val="24"/>
        </w:rPr>
        <w:t>fintech</w:t>
      </w:r>
      <w:proofErr w:type="spellEnd"/>
      <w:r w:rsidRPr="00934BDB">
        <w:rPr>
          <w:rFonts w:asciiTheme="majorBidi" w:hAnsiTheme="majorBidi" w:cstheme="majorBidi"/>
          <w:color w:val="000000"/>
          <w:sz w:val="24"/>
          <w:szCs w:val="24"/>
        </w:rPr>
        <w:t>.</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11. Additional Data Requested</w:t>
      </w:r>
    </w:p>
    <w:tbl>
      <w:tblPr>
        <w:tblStyle w:val="ae"/>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3D234F" w:rsidRPr="00934BDB">
        <w:trPr>
          <w:jc w:val="center"/>
        </w:trPr>
        <w:tc>
          <w:tcPr>
            <w:tcW w:w="50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Additional data</w:t>
            </w:r>
          </w:p>
        </w:tc>
        <w:tc>
          <w:tcPr>
            <w:tcW w:w="5040" w:type="dxa"/>
            <w:shd w:val="clear" w:color="auto" w:fill="153A6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FFFFFF"/>
                <w:sz w:val="24"/>
                <w:szCs w:val="24"/>
              </w:rPr>
              <w:t>Why it matters</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Confirmed fraud / chargeback label</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Allows precision/recall evaluation and separates genuine risk from false positives.</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Authentication data</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OTP/MFA success, biometric events and authentication method would improve suspicious-</w:t>
            </w:r>
            <w:proofErr w:type="spellStart"/>
            <w:r w:rsidRPr="00934BDB">
              <w:rPr>
                <w:rFonts w:asciiTheme="majorBidi" w:hAnsiTheme="majorBidi" w:cstheme="majorBidi"/>
                <w:color w:val="23262A"/>
                <w:sz w:val="24"/>
                <w:szCs w:val="24"/>
              </w:rPr>
              <w:t>behaviour</w:t>
            </w:r>
            <w:proofErr w:type="spellEnd"/>
            <w:r w:rsidRPr="00934BDB">
              <w:rPr>
                <w:rFonts w:asciiTheme="majorBidi" w:hAnsiTheme="majorBidi" w:cstheme="majorBidi"/>
                <w:color w:val="23262A"/>
                <w:sz w:val="24"/>
                <w:szCs w:val="24"/>
              </w:rPr>
              <w:t xml:space="preserve"> analysis.</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IP address and device fingerprint</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Supports device-change and account-takeover investigations.</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Beneficiary / recipient history</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Shows whether a recipient is new, frequent or associated with unusual activity.</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Customer KYC and account status</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Provides context for high-value transactions and customer risk.</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Transaction limits and available balance</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Allows validation of limit and balance-related failures.</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Provider/API response codes and latency</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Helps distinguish customer errors from infrastructure/provider failures.</w:t>
            </w:r>
          </w:p>
        </w:tc>
      </w:tr>
      <w:tr w:rsidR="003D234F" w:rsidRPr="00934BDB">
        <w:trPr>
          <w:jc w:val="center"/>
        </w:trPr>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Merchant category and merchant location</w:t>
            </w:r>
          </w:p>
        </w:tc>
        <w:tc>
          <w:tcPr>
            <w:tcW w:w="5040" w:type="dxa"/>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Allows meaningful merchant performance and risk segmentation.</w:t>
            </w:r>
          </w:p>
        </w:tc>
      </w:tr>
      <w:tr w:rsidR="003D234F" w:rsidRPr="00934BDB">
        <w:trPr>
          <w:jc w:val="center"/>
        </w:trPr>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Historical transaction history</w:t>
            </w:r>
          </w:p>
        </w:tc>
        <w:tc>
          <w:tcPr>
            <w:tcW w:w="5040" w:type="dxa"/>
            <w:shd w:val="clear" w:color="auto" w:fill="F6F8FB"/>
            <w:vAlign w:val="center"/>
          </w:tcPr>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color w:val="23262A"/>
                <w:sz w:val="24"/>
                <w:szCs w:val="24"/>
              </w:rPr>
              <w:t xml:space="preserve">Enables customer baselines, seasonality and </w:t>
            </w:r>
            <w:proofErr w:type="spellStart"/>
            <w:r w:rsidRPr="00934BDB">
              <w:rPr>
                <w:rFonts w:asciiTheme="majorBidi" w:hAnsiTheme="majorBidi" w:cstheme="majorBidi"/>
                <w:color w:val="23262A"/>
                <w:sz w:val="24"/>
                <w:szCs w:val="24"/>
              </w:rPr>
              <w:t>behavioural</w:t>
            </w:r>
            <w:proofErr w:type="spellEnd"/>
            <w:r w:rsidRPr="00934BDB">
              <w:rPr>
                <w:rFonts w:asciiTheme="majorBidi" w:hAnsiTheme="majorBidi" w:cstheme="majorBidi"/>
                <w:color w:val="23262A"/>
                <w:sz w:val="24"/>
                <w:szCs w:val="24"/>
              </w:rPr>
              <w:t xml:space="preserve"> change detection.</w:t>
            </w:r>
          </w:p>
        </w:tc>
      </w:tr>
    </w:tbl>
    <w:p w:rsidR="003D234F" w:rsidRPr="00934BDB" w:rsidRDefault="003D234F" w:rsidP="00934BDB">
      <w:pPr>
        <w:spacing w:line="360" w:lineRule="auto"/>
        <w:rPr>
          <w:rFonts w:asciiTheme="majorBidi" w:hAnsiTheme="majorBidi" w:cstheme="majorBidi"/>
          <w:sz w:val="24"/>
          <w:szCs w:val="24"/>
        </w:rPr>
      </w:pP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12. Conclusion</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 analysis demonstrates that the raw transaction table alone does not provide the full picture. Aggregation and </w:t>
      </w:r>
      <w:proofErr w:type="spellStart"/>
      <w:r w:rsidRPr="00934BDB">
        <w:rPr>
          <w:rFonts w:asciiTheme="majorBidi" w:hAnsiTheme="majorBidi" w:cstheme="majorBidi"/>
          <w:sz w:val="24"/>
          <w:szCs w:val="24"/>
        </w:rPr>
        <w:t>visualisation</w:t>
      </w:r>
      <w:proofErr w:type="spellEnd"/>
      <w:r w:rsidRPr="00934BDB">
        <w:rPr>
          <w:rFonts w:asciiTheme="majorBidi" w:hAnsiTheme="majorBidi" w:cstheme="majorBidi"/>
          <w:sz w:val="24"/>
          <w:szCs w:val="24"/>
        </w:rPr>
        <w:t xml:space="preserve"> reveal concentration, failure patterns, </w:t>
      </w:r>
      <w:proofErr w:type="spellStart"/>
      <w:r w:rsidRPr="00934BDB">
        <w:rPr>
          <w:rFonts w:asciiTheme="majorBidi" w:hAnsiTheme="majorBidi" w:cstheme="majorBidi"/>
          <w:sz w:val="24"/>
          <w:szCs w:val="24"/>
        </w:rPr>
        <w:t>behavioural</w:t>
      </w:r>
      <w:proofErr w:type="spellEnd"/>
      <w:r w:rsidRPr="00934BDB">
        <w:rPr>
          <w:rFonts w:asciiTheme="majorBidi" w:hAnsiTheme="majorBidi" w:cstheme="majorBidi"/>
          <w:sz w:val="24"/>
          <w:szCs w:val="24"/>
        </w:rPr>
        <w:t xml:space="preserve"> risk signals and data-quality problems that are difficult to see at row level.</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The strongest insights are the dominance of P2P transfers and the Mobile App, the concentration of value in Greater Accra and Eastern, the elevated failure rates for Cash-Out and in Northern, the importance of Insufficient Funds as a failure driver, and the relationship between risk score and </w:t>
      </w:r>
      <w:proofErr w:type="spellStart"/>
      <w:r w:rsidRPr="00934BDB">
        <w:rPr>
          <w:rFonts w:asciiTheme="majorBidi" w:hAnsiTheme="majorBidi" w:cstheme="majorBidi"/>
          <w:sz w:val="24"/>
          <w:szCs w:val="24"/>
        </w:rPr>
        <w:t>behavioural</w:t>
      </w:r>
      <w:proofErr w:type="spellEnd"/>
      <w:r w:rsidRPr="00934BDB">
        <w:rPr>
          <w:rFonts w:asciiTheme="majorBidi" w:hAnsiTheme="majorBidi" w:cstheme="majorBidi"/>
          <w:sz w:val="24"/>
          <w:szCs w:val="24"/>
        </w:rPr>
        <w:t xml:space="preserve"> indicators. The analysis also uncovered 9 successful balance-reconciliation anomalies and 237 successful transactions with very high risk scores.</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For a </w:t>
      </w:r>
      <w:proofErr w:type="spellStart"/>
      <w:r w:rsidRPr="00934BDB">
        <w:rPr>
          <w:rFonts w:asciiTheme="majorBidi" w:hAnsiTheme="majorBidi" w:cstheme="majorBidi"/>
          <w:sz w:val="24"/>
          <w:szCs w:val="24"/>
        </w:rPr>
        <w:t>fintech</w:t>
      </w:r>
      <w:proofErr w:type="spellEnd"/>
      <w:r w:rsidRPr="00934BDB">
        <w:rPr>
          <w:rFonts w:asciiTheme="majorBidi" w:hAnsiTheme="majorBidi" w:cstheme="majorBidi"/>
          <w:sz w:val="24"/>
          <w:szCs w:val="24"/>
        </w:rPr>
        <w:t xml:space="preserve"> company, the value of analytics is therefore not just reporting what happened. It is using relationships between transactions, customers, channels, providers, balances and risk indicators to decide where to investigate, where to improve operations and where to invest for growth.</w:t>
      </w:r>
    </w:p>
    <w:p w:rsidR="003D234F" w:rsidRPr="00934BDB" w:rsidRDefault="00517C18" w:rsidP="00934BDB">
      <w:pPr>
        <w:pStyle w:val="Heading1"/>
        <w:spacing w:line="360" w:lineRule="auto"/>
        <w:rPr>
          <w:rFonts w:asciiTheme="majorBidi" w:hAnsiTheme="majorBidi" w:cstheme="majorBidi"/>
          <w:sz w:val="24"/>
          <w:szCs w:val="24"/>
        </w:rPr>
      </w:pPr>
      <w:r w:rsidRPr="00934BDB">
        <w:rPr>
          <w:rFonts w:asciiTheme="majorBidi" w:hAnsiTheme="majorBidi" w:cstheme="majorBidi"/>
          <w:color w:val="15274B"/>
          <w:sz w:val="24"/>
          <w:szCs w:val="24"/>
        </w:rPr>
        <w:t>13. Final Reflection</w:t>
      </w:r>
    </w:p>
    <w:p w:rsidR="003D234F" w:rsidRPr="00934BDB" w:rsidRDefault="00517C18" w:rsidP="00934BDB">
      <w:pPr>
        <w:spacing w:line="360" w:lineRule="auto"/>
        <w:rPr>
          <w:rFonts w:asciiTheme="majorBidi" w:hAnsiTheme="majorBidi" w:cstheme="majorBidi"/>
          <w:sz w:val="24"/>
          <w:szCs w:val="24"/>
        </w:rPr>
      </w:pPr>
      <w:r w:rsidRPr="00934BDB">
        <w:rPr>
          <w:rFonts w:asciiTheme="majorBidi" w:hAnsiTheme="majorBidi" w:cstheme="majorBidi"/>
          <w:b/>
          <w:bCs/>
          <w:color w:val="8E2334"/>
          <w:sz w:val="24"/>
          <w:szCs w:val="24"/>
        </w:rPr>
        <w:t>“If I had another 72 hours, I would…”</w:t>
      </w:r>
    </w:p>
    <w:p w:rsidR="003D234F" w:rsidRPr="00934BDB" w:rsidRDefault="00517C18" w:rsidP="00934BDB">
      <w:pPr>
        <w:spacing w:after="140" w:line="360" w:lineRule="auto"/>
        <w:rPr>
          <w:rFonts w:asciiTheme="majorBidi" w:hAnsiTheme="majorBidi" w:cstheme="majorBidi"/>
          <w:sz w:val="24"/>
          <w:szCs w:val="24"/>
        </w:rPr>
      </w:pPr>
      <w:r w:rsidRPr="00934BDB">
        <w:rPr>
          <w:rFonts w:asciiTheme="majorBidi" w:hAnsiTheme="majorBidi" w:cstheme="majorBidi"/>
          <w:sz w:val="24"/>
          <w:szCs w:val="24"/>
        </w:rPr>
        <w:t xml:space="preserve">build a more advanced transaction-monitoring layer that learns a customer-specific baseline from historical </w:t>
      </w:r>
      <w:proofErr w:type="spellStart"/>
      <w:r w:rsidRPr="00934BDB">
        <w:rPr>
          <w:rFonts w:asciiTheme="majorBidi" w:hAnsiTheme="majorBidi" w:cstheme="majorBidi"/>
          <w:sz w:val="24"/>
          <w:szCs w:val="24"/>
        </w:rPr>
        <w:t>behaviour</w:t>
      </w:r>
      <w:proofErr w:type="spellEnd"/>
      <w:r w:rsidRPr="00934BDB">
        <w:rPr>
          <w:rFonts w:asciiTheme="majorBidi" w:hAnsiTheme="majorBidi" w:cstheme="majorBidi"/>
          <w:sz w:val="24"/>
          <w:szCs w:val="24"/>
        </w:rPr>
        <w:t>, combines multiple risk indicators into an explainable suspicion score, validates balance movements against formal ledger rules, and adds provider/API performance data. I would also test the suspicious-transaction rules against confirmed fraud labels so that the analysis could be evaluated using measurable false-positive and false-negative rates.</w:t>
      </w:r>
      <w:bookmarkStart w:id="0" w:name="_GoBack"/>
      <w:bookmarkEnd w:id="0"/>
    </w:p>
    <w:sectPr w:rsidR="003D234F" w:rsidRPr="00934BDB">
      <w:footerReference w:type="default" r:id="rId7"/>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255C" w:rsidRDefault="0013255C">
      <w:pPr>
        <w:spacing w:after="0" w:line="240" w:lineRule="auto"/>
      </w:pPr>
      <w:r>
        <w:separator/>
      </w:r>
    </w:p>
  </w:endnote>
  <w:endnote w:type="continuationSeparator" w:id="0">
    <w:p w:rsidR="0013255C" w:rsidRDefault="00132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altName w:val="Times New Roman"/>
    <w:charset w:val="00"/>
    <w:family w:val="auto"/>
    <w:pitch w:val="default"/>
  </w:font>
  <w:font w:name="Play">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2E424C6E-E01F-4058-B096-AE20E96E1942}"/>
    <w:embedItalic r:id="rId2" w:fontKey="{5AC7D773-8DE7-4542-A60C-F41CE5C6F1DD}"/>
    <w:embedBoldItalic r:id="rId3" w:fontKey="{B15A3296-CA02-4717-8867-12E877C80427}"/>
  </w:font>
  <w:font w:name="Cambria">
    <w:panose1 w:val="02040503050406030204"/>
    <w:charset w:val="00"/>
    <w:family w:val="roman"/>
    <w:pitch w:val="variable"/>
    <w:sig w:usb0="E00006FF" w:usb1="420024FF" w:usb2="02000000" w:usb3="00000000" w:csb0="0000019F" w:csb1="00000000"/>
    <w:embedRegular r:id="rId4" w:fontKey="{19F78931-3F4D-4657-8E1F-2889AACB9A2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C18" w:rsidRDefault="00517C18">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BD2106">
      <w:rPr>
        <w:noProof/>
        <w:color w:val="000000"/>
      </w:rPr>
      <w:t>12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255C" w:rsidRDefault="0013255C">
      <w:pPr>
        <w:spacing w:after="0" w:line="240" w:lineRule="auto"/>
      </w:pPr>
      <w:r>
        <w:separator/>
      </w:r>
    </w:p>
  </w:footnote>
  <w:footnote w:type="continuationSeparator" w:id="0">
    <w:p w:rsidR="0013255C" w:rsidRDefault="00132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5558B"/>
    <w:multiLevelType w:val="hybridMultilevel"/>
    <w:tmpl w:val="E708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2008DE"/>
    <w:multiLevelType w:val="multilevel"/>
    <w:tmpl w:val="9B0ECD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4E4179B"/>
    <w:multiLevelType w:val="multilevel"/>
    <w:tmpl w:val="704C8DB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34F"/>
    <w:rsid w:val="0013255C"/>
    <w:rsid w:val="003D234F"/>
    <w:rsid w:val="00517C18"/>
    <w:rsid w:val="00934BDB"/>
    <w:rsid w:val="00BD2106"/>
    <w:rsid w:val="00BE26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B012"/>
  <w15:docId w15:val="{C229C56C-7BB8-4C46-9EA9-C9EE2FEC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lang w:val="en"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Play" w:eastAsia="Play" w:hAnsi="Play" w:cs="Play"/>
      <w:b/>
      <w:bCs/>
      <w:color w:val="366091"/>
      <w:sz w:val="34"/>
      <w:szCs w:val="34"/>
    </w:rPr>
  </w:style>
  <w:style w:type="paragraph" w:styleId="Heading2">
    <w:name w:val="heading 2"/>
    <w:basedOn w:val="Normal"/>
    <w:next w:val="Normal"/>
    <w:pPr>
      <w:keepNext/>
      <w:keepLines/>
      <w:spacing w:before="200" w:after="0"/>
      <w:outlineLvl w:val="1"/>
    </w:pPr>
    <w:rPr>
      <w:rFonts w:ascii="Play" w:eastAsia="Play" w:hAnsi="Play" w:cs="Play"/>
      <w:b/>
      <w:bCs/>
      <w:color w:val="4F81BD"/>
      <w:sz w:val="26"/>
      <w:szCs w:val="26"/>
    </w:rPr>
  </w:style>
  <w:style w:type="paragraph" w:styleId="Heading3">
    <w:name w:val="heading 3"/>
    <w:basedOn w:val="Normal"/>
    <w:next w:val="Normal"/>
    <w:pPr>
      <w:keepNext/>
      <w:keepLines/>
      <w:spacing w:before="200" w:after="0"/>
      <w:outlineLvl w:val="2"/>
    </w:pPr>
    <w:rPr>
      <w:rFonts w:ascii="Play" w:eastAsia="Play" w:hAnsi="Play" w:cs="Play"/>
      <w:b/>
      <w:bCs/>
      <w:color w:val="4F81BD"/>
      <w:sz w:val="22"/>
      <w:szCs w:val="22"/>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17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2181</TotalTime>
  <Pages>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2026-09-09T13:54:00Z</dcterms:created>
  <dcterms:modified xsi:type="dcterms:W3CDTF">2026-09-11T02:16:00Z</dcterms:modified>
</cp:coreProperties>
</file>