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FINANCIAL TRANSACTION ANALYSIS</w:t>
      </w:r>
    </w:p>
    <w:p>
      <w:pPr>
        <w:jc w:val="center"/>
      </w:pPr>
      <w:r>
        <w:rPr>
          <w:b/>
          <w:sz w:val="30"/>
        </w:rPr>
        <w:t>Fintech Transaction &amp; Risk Intelligence Report</w:t>
      </w:r>
    </w:p>
    <w:p>
      <w:pPr>
        <w:jc w:val="center"/>
      </w:pPr>
      <w:r>
        <w:rPr>
          <w:i/>
        </w:rPr>
        <w:t>Prepared from the Power BI Financial Transaction Analysis Dashboard</w:t>
      </w:r>
    </w:p>
    <w:p/>
    <w:p>
      <w:pPr>
        <w:pStyle w:val="Heading1"/>
      </w:pPr>
      <w:r>
        <w:t>1. Executive Summary</w:t>
      </w:r>
    </w:p>
    <w:p>
      <w:r>
        <w:t>This report presents an analysis of the financial transaction data represented in the Financial Transaction Analysis Dashboard. The dashboard provides views of transaction volume and value, customer segments, geographic distribution, time-based activity, transaction failures, and transaction risk.</w:t>
      </w:r>
    </w:p>
    <w:p>
      <w:r>
        <w:t>The dashboard records a total transaction amount of GH₵330.08K across 1,499 transactions and 299 unique customers. Mobile App transactions account for the largest transaction amount among the channels shown, while ApexMoney has the highest transaction amount and transaction count among the providers. Consumer transactions represent the largest customer segment by transaction value and count.</w:t>
      </w:r>
    </w:p>
    <w:p>
      <w:r>
        <w:t>The risk analysis shows 1K high-risk transactions, an average risk score of 64.09, and 922 high-risk successful transactions. The failure analysis identifies Insufficient Funds as the most frequently displayed failure reason and shows variation in failure rates across regions, channels, providers, customer segments, and transaction types.</w:t>
      </w:r>
    </w:p>
    <w:p>
      <w:pPr>
        <w:pStyle w:val="Heading1"/>
      </w:pPr>
      <w:r>
        <w:t>2. Dashboard Scope and Structure</w:t>
      </w:r>
    </w:p>
    <w:p>
      <w:r>
        <w:t>The Power BI dashboard is organized into the following analytical areas: Transaction Overview; Geographic &amp; Customer Analysis; Time-Based Transaction Analysis; Transaction Failure Analysis; Failure Rate Analysis; Transaction Risk Analysis; and Risk Profile Analysis.</w:t>
      </w:r>
    </w:p>
    <w:p>
      <w:r>
        <w:t>These sections collectively provide a descriptive view of transaction activity and risk indicators across providers, channels, regions, customer segments, transaction types, days, and hours.</w:t>
      </w:r>
    </w:p>
    <w:p>
      <w:pPr>
        <w:pStyle w:val="Heading1"/>
      </w:pPr>
      <w:r>
        <w:t>3. Transaction Overview</w:t>
      </w:r>
    </w:p>
    <w:p>
      <w:r>
        <w:t>The dashboard reports the following overall transaction indicators:</w:t>
      </w:r>
    </w:p>
    <w:tbl>
      <w:tblPr>
        <w:tblStyle w:val="TableGrid"/>
        <w:tblW w:type="auto" w:w="0"/>
        <w:tblLook w:firstColumn="1" w:firstRow="1" w:lastColumn="0" w:lastRow="0" w:noHBand="0" w:noVBand="1" w:val="04A0"/>
      </w:tblPr>
      <w:tblGrid>
        <w:gridCol w:w="4968"/>
        <w:gridCol w:w="4968"/>
      </w:tblGrid>
      <w:tr>
        <w:tc>
          <w:tcPr>
            <w:tcW w:type="dxa" w:w="4968"/>
          </w:tcPr>
          <w:p>
            <w:r>
              <w:t>Indicator</w:t>
            </w:r>
          </w:p>
        </w:tc>
        <w:tc>
          <w:tcPr>
            <w:tcW w:type="dxa" w:w="4968"/>
          </w:tcPr>
          <w:p>
            <w:r>
              <w:t>Dashboard Value</w:t>
            </w:r>
          </w:p>
        </w:tc>
      </w:tr>
      <w:tr>
        <w:tc>
          <w:tcPr>
            <w:tcW w:type="dxa" w:w="4968"/>
          </w:tcPr>
          <w:p>
            <w:r>
              <w:t>Total transaction amount</w:t>
            </w:r>
          </w:p>
        </w:tc>
        <w:tc>
          <w:tcPr>
            <w:tcW w:type="dxa" w:w="4968"/>
          </w:tcPr>
          <w:p>
            <w:r>
              <w:t>GH₵330.08K</w:t>
            </w:r>
          </w:p>
        </w:tc>
      </w:tr>
      <w:tr>
        <w:tc>
          <w:tcPr>
            <w:tcW w:type="dxa" w:w="4968"/>
          </w:tcPr>
          <w:p>
            <w:r>
              <w:t>Unique customers</w:t>
            </w:r>
          </w:p>
        </w:tc>
        <w:tc>
          <w:tcPr>
            <w:tcW w:type="dxa" w:w="4968"/>
          </w:tcPr>
          <w:p>
            <w:r>
              <w:t>299</w:t>
            </w:r>
          </w:p>
        </w:tc>
      </w:tr>
      <w:tr>
        <w:tc>
          <w:tcPr>
            <w:tcW w:type="dxa" w:w="4968"/>
          </w:tcPr>
          <w:p>
            <w:r>
              <w:t>Total transactions</w:t>
            </w:r>
          </w:p>
        </w:tc>
        <w:tc>
          <w:tcPr>
            <w:tcW w:type="dxa" w:w="4968"/>
          </w:tcPr>
          <w:p>
            <w:r>
              <w:t>1,499</w:t>
            </w:r>
          </w:p>
        </w:tc>
      </w:tr>
      <w:tr>
        <w:tc>
          <w:tcPr>
            <w:tcW w:type="dxa" w:w="4968"/>
          </w:tcPr>
          <w:p>
            <w:r>
              <w:t>Largest provider by transaction amount</w:t>
            </w:r>
          </w:p>
        </w:tc>
        <w:tc>
          <w:tcPr>
            <w:tcW w:type="dxa" w:w="4968"/>
          </w:tcPr>
          <w:p>
            <w:r>
              <w:t>ApexMoney – GH₵111K</w:t>
            </w:r>
          </w:p>
        </w:tc>
      </w:tr>
      <w:tr>
        <w:tc>
          <w:tcPr>
            <w:tcW w:type="dxa" w:w="4968"/>
          </w:tcPr>
          <w:p>
            <w:r>
              <w:t>Largest channel by transaction amount</w:t>
            </w:r>
          </w:p>
        </w:tc>
        <w:tc>
          <w:tcPr>
            <w:tcW w:type="dxa" w:w="4968"/>
          </w:tcPr>
          <w:p>
            <w:r>
              <w:t>Mobile App – GH₵170K</w:t>
            </w:r>
          </w:p>
        </w:tc>
      </w:tr>
    </w:tbl>
    <w:p>
      <w:pPr>
        <w:pStyle w:val="Heading2"/>
      </w:pPr>
      <w:r>
        <w:t>3.1 Transaction Amount by Channel</w:t>
      </w:r>
    </w:p>
    <w:p>
      <w:r>
        <w:t>The Mobile App records the highest transaction amount at GH₵170K. It is followed by USSD at GH₵52K, POS at GH₵49K, API at GH₵33K, and Web at GH₵26K. This indicates that the Mobile App channel accounts for the largest share of transaction value represented in the dashboard.</w:t>
      </w:r>
    </w:p>
    <w:p>
      <w:pPr>
        <w:pStyle w:val="Heading2"/>
      </w:pPr>
      <w:r>
        <w:t>3.2 Transaction Amount and Count by Provider</w:t>
      </w:r>
    </w:p>
    <w:p>
      <w:r>
        <w:t>ApexMoney records GH₵111K in transaction amount, followed by KasaPay at GH₵91K, SwiftCash at GH₵71K, and MobiLink at GH₵57K. Transaction counts follow the same provider ordering: ApexMoney (506), KasaPay (440), SwiftCash (322), and MobiLink (231).</w:t>
      </w:r>
    </w:p>
    <w:p>
      <w:pPr>
        <w:pStyle w:val="Heading1"/>
      </w:pPr>
      <w:r>
        <w:t>4. Geographic and Customer Analysis</w:t>
      </w:r>
    </w:p>
    <w:p>
      <w:pPr>
        <w:pStyle w:val="Heading2"/>
      </w:pPr>
      <w:r>
        <w:t>4.1 Customer Segments</w:t>
      </w:r>
    </w:p>
    <w:p>
      <w:r>
        <w:t>Consumer customers account for GH₵237.12K in transaction value, compared with GH₵61.14K for Microbusiness and GH₵31.82K for SME customers. By transaction count, Consumer records 972 transactions, Microbusiness 359, and SME 168.</w:t>
      </w:r>
    </w:p>
    <w:p>
      <w:r>
        <w:t>The dashboard therefore shows a substantially larger volume and value of transactions associated with the Consumer segment than with the two business-oriented segments.</w:t>
      </w:r>
    </w:p>
    <w:p>
      <w:pPr>
        <w:pStyle w:val="Heading2"/>
      </w:pPr>
      <w:r>
        <w:t>4.2 Regional Distribution</w:t>
      </w:r>
    </w:p>
    <w:p>
      <w:r>
        <w:t>Greater Accra records the highest transaction amount at GH₵94K, followed by Eastern (GH₵76K), Ashanti (GH₵45K), Central (GH₵43K), Western (GH₵27K), Northern (GH₵21K), Volta (GH₵18K), and Bono (GH₵6K).</w:t>
      </w:r>
    </w:p>
    <w:p>
      <w:r>
        <w:t>By transaction count, Greater Accra also has the highest number of transactions (543), followed by Ashanti (319), Eastern (178), Central (147), Western (109), Northern (89), Volta (64), and Bono (49).</w:t>
      </w:r>
    </w:p>
    <w:p>
      <w:pPr>
        <w:pStyle w:val="Heading1"/>
      </w:pPr>
      <w:r>
        <w:t>5. Time-Based Transaction Analysis</w:t>
      </w:r>
    </w:p>
    <w:p>
      <w:pPr>
        <w:pStyle w:val="Heading2"/>
      </w:pPr>
      <w:r>
        <w:t>5.1 Transactions by Day</w:t>
      </w:r>
    </w:p>
    <w:p>
      <w:r>
        <w:t>The highest transaction count occurs on Sunday (256), followed by Monday (253), Saturday (239), Tuesday (201), Thursday (198), Wednesday (180), and Friday (172).</w:t>
      </w:r>
    </w:p>
    <w:p>
      <w:r>
        <w:t>Transaction amount varies by day. Tuesday records GH₵60.08K, Wednesday GH₵59.88K, Thursday GH₵55.44K, Monday GH₵42.22K, Friday GH₵40.93K, Sunday GH₵36.57K, and Saturday GH₵34.96K.</w:t>
      </w:r>
    </w:p>
    <w:p>
      <w:r>
        <w:t>The dashboard therefore shows that transaction frequency and transaction value do not follow exactly the same ordering across days.</w:t>
      </w:r>
    </w:p>
    <w:p>
      <w:pPr>
        <w:pStyle w:val="Heading2"/>
      </w:pPr>
      <w:r>
        <w:t>5.2 Transactions by Hour</w:t>
      </w:r>
    </w:p>
    <w:p>
      <w:r>
        <w:t>The dashboard includes transaction counts and transaction amounts by hour, allowing activity to be examined across the 24-hour period. The visual shows variation in both transaction frequency and value across different hours. Specific hourly peaks should be interpreted directly from the dashboard filters and visual rather than inferred beyond the values displayed.</w:t>
      </w:r>
    </w:p>
    <w:p>
      <w:pPr>
        <w:pStyle w:val="Heading1"/>
      </w:pPr>
      <w:r>
        <w:t>6. Transaction Failure Analysis</w:t>
      </w:r>
    </w:p>
    <w:p>
      <w:pPr>
        <w:pStyle w:val="Heading2"/>
      </w:pPr>
      <w:r>
        <w:t>6.1 Failure Reasons</w:t>
      </w:r>
    </w:p>
    <w:p>
      <w:r>
        <w:t>Among the failure reasons displayed, Insufficient Funds has the highest count (90). It is followed by Network Timeout (38), Awaiting Confirmation (30), Validation Error (28), Limit Exceeded (26), Settlement Failure (22), Duplicate Transaction (21), Invalid PIN (20), Service Unavailable (19), and Recipient Unavailable (15).</w:t>
      </w:r>
    </w:p>
    <w:p>
      <w:r>
        <w:t>These categories show that both account-related conditions and transaction-processing or service-related issues appear among the recorded failure reasons.</w:t>
      </w:r>
    </w:p>
    <w:p>
      <w:pPr>
        <w:pStyle w:val="Heading2"/>
      </w:pPr>
      <w:r>
        <w:t>6.2 Transaction Status Distribution</w:t>
      </w:r>
    </w:p>
    <w:p>
      <w:r>
        <w:t>The status distribution visual reports 79.39% for successful transactions and 14.41% for failed transactions. The dashboard also includes Pending and Reversed statuses. The displayed percentages should be read together with the dashboard filters when performing more detailed status analysis.</w:t>
      </w:r>
    </w:p>
    <w:p>
      <w:pPr>
        <w:pStyle w:val="Heading2"/>
      </w:pPr>
      <w:r>
        <w:t>6.3 Transaction Type</w:t>
      </w:r>
    </w:p>
    <w:p>
      <w:r>
        <w:t>By transaction amount, P2P Transfer is highest at GH₵118K, followed by Bank Transfer (GH₵51K), Cash-Out (GH₵47K), Merchant Payment (GH₵46K), Cash-In (GH₵42K), and Bill Payment (GH₵26K). By transaction count, P2P Transfer has 463 transactions, Merchant Payment 323, Bank Transfer 217, Cash-In 196, Cash-Out 172, and Bill Payment 128.</w:t>
      </w:r>
    </w:p>
    <w:p>
      <w:pPr>
        <w:pStyle w:val="Heading1"/>
      </w:pPr>
      <w:r>
        <w:t>7. Failure Rate Analysis</w:t>
      </w:r>
    </w:p>
    <w:p>
      <w:r>
        <w:t>Failure rates vary across the dimensions shown in the dashboard. By region, Northern has the highest displayed failure rate at 26.97%, followed by Ashanti (22.57%), Bono (22.45%), Eastern (21.35%), Greater Accra (19.15%), Central (19.05%), Volta (18.75%), and Western (18.35%).</w:t>
      </w:r>
    </w:p>
    <w:p>
      <w:r>
        <w:t>By channel, USSD records the highest displayed failure rate at 22.73%, followed by Mobile App (20.66%), Web (19.77%), POS (19.75%), and API (16.16%).</w:t>
      </w:r>
    </w:p>
    <w:p>
      <w:r>
        <w:t>By provider, ApexMoney has a displayed failure rate of 23.32%, followed by MobiLink (19.91%), KasaPay (19.09%), and SwiftCash (18.94%).</w:t>
      </w:r>
    </w:p>
    <w:p>
      <w:r>
        <w:t>By customer segment, SME has the highest displayed failure rate at 24.40%, followed by Consumer (20.68%) and Microbusiness (18.66%).</w:t>
      </w:r>
    </w:p>
    <w:p>
      <w:r>
        <w:t>By transaction type, Cash-Out has the highest displayed failure rate at 26.74%, followed by P2P Transfer (23.11%), Bill Payment (19.53%), Merchant Payment (19.20%), Cash-In (16.84%), and Bank Transfer (16.59%).</w:t>
      </w:r>
    </w:p>
    <w:p>
      <w:pPr>
        <w:pStyle w:val="Heading1"/>
      </w:pPr>
      <w:r>
        <w:t>8. Transaction Risk Analysis</w:t>
      </w:r>
    </w:p>
    <w:tbl>
      <w:tblPr>
        <w:tblStyle w:val="TableGrid"/>
        <w:tblW w:type="auto" w:w="0"/>
        <w:tblLook w:firstColumn="1" w:firstRow="1" w:lastColumn="0" w:lastRow="0" w:noHBand="0" w:noVBand="1" w:val="04A0"/>
      </w:tblPr>
      <w:tblGrid>
        <w:gridCol w:w="4968"/>
        <w:gridCol w:w="4968"/>
      </w:tblGrid>
      <w:tr>
        <w:tc>
          <w:tcPr>
            <w:tcW w:type="dxa" w:w="4968"/>
          </w:tcPr>
          <w:p>
            <w:r>
              <w:t>Risk Indicator</w:t>
            </w:r>
          </w:p>
        </w:tc>
        <w:tc>
          <w:tcPr>
            <w:tcW w:type="dxa" w:w="4968"/>
          </w:tcPr>
          <w:p>
            <w:r>
              <w:t>Dashboard Value</w:t>
            </w:r>
          </w:p>
        </w:tc>
      </w:tr>
      <w:tr>
        <w:tc>
          <w:tcPr>
            <w:tcW w:type="dxa" w:w="4968"/>
          </w:tcPr>
          <w:p>
            <w:r>
              <w:t>High-risk transactions</w:t>
            </w:r>
          </w:p>
        </w:tc>
        <w:tc>
          <w:tcPr>
            <w:tcW w:type="dxa" w:w="4968"/>
          </w:tcPr>
          <w:p>
            <w:r>
              <w:t>1K</w:t>
            </w:r>
          </w:p>
        </w:tc>
      </w:tr>
      <w:tr>
        <w:tc>
          <w:tcPr>
            <w:tcW w:type="dxa" w:w="4968"/>
          </w:tcPr>
          <w:p>
            <w:r>
              <w:t>Average risk score</w:t>
            </w:r>
          </w:p>
        </w:tc>
        <w:tc>
          <w:tcPr>
            <w:tcW w:type="dxa" w:w="4968"/>
          </w:tcPr>
          <w:p>
            <w:r>
              <w:t>64.09</w:t>
            </w:r>
          </w:p>
        </w:tc>
      </w:tr>
      <w:tr>
        <w:tc>
          <w:tcPr>
            <w:tcW w:type="dxa" w:w="4968"/>
          </w:tcPr>
          <w:p>
            <w:r>
              <w:t>High-risk successful transactions</w:t>
            </w:r>
          </w:p>
        </w:tc>
        <w:tc>
          <w:tcPr>
            <w:tcW w:type="dxa" w:w="4968"/>
          </w:tcPr>
          <w:p>
            <w:r>
              <w:t>922</w:t>
            </w:r>
          </w:p>
        </w:tc>
      </w:tr>
    </w:tbl>
    <w:p>
      <w:r>
        <w:t>The dashboard presents relationships between risk score and transaction velocity, failed attempts in 24 hours, and device changes in 24 hours. These visuals are intended to support investigation of transaction behaviour associated with different risk scores.</w:t>
      </w:r>
    </w:p>
    <w:p>
      <w:r>
        <w:t>The risk-score distribution visual covers scores from 20 to 100 and shows the distribution of transactions across the displayed score range.</w:t>
      </w:r>
    </w:p>
    <w:p>
      <w:pPr>
        <w:pStyle w:val="Heading2"/>
      </w:pPr>
      <w:r>
        <w:t>8.1 Average Risk Score by Provider</w:t>
      </w:r>
    </w:p>
    <w:p>
      <w:r>
        <w:t>KasaPay has the highest average risk score at 65.41, followed by ApexMoney (64.34), MobiLink (63.35), and SwiftCash (62.42).</w:t>
      </w:r>
    </w:p>
    <w:p>
      <w:pPr>
        <w:pStyle w:val="Heading2"/>
      </w:pPr>
      <w:r>
        <w:t>8.2 Average Risk Score by Customer Segment</w:t>
      </w:r>
    </w:p>
    <w:p>
      <w:r>
        <w:t>Consumer has an average risk score of 64.57, SME 63.56, and Microbusiness 63.02.</w:t>
      </w:r>
    </w:p>
    <w:p>
      <w:pPr>
        <w:pStyle w:val="Heading2"/>
      </w:pPr>
      <w:r>
        <w:t>8.3 Average Risk Score by Transaction Type</w:t>
      </w:r>
    </w:p>
    <w:p>
      <w:r>
        <w:t>P2P Transfer has the highest average risk score at 65.06, followed by Bill Payment (64.33), Merchant Payment (64.09), Cash-Out (63.61), Bank Transfer (63.13), and Cash-In (63.11).</w:t>
      </w:r>
    </w:p>
    <w:p>
      <w:pPr>
        <w:pStyle w:val="Heading2"/>
      </w:pPr>
      <w:r>
        <w:t>8.4 Average Risk Score by Channel</w:t>
      </w:r>
    </w:p>
    <w:p>
      <w:r>
        <w:t>Mobile App has the highest average risk score at 65.07, followed by POS (63.80), USSD (63.73), Web (62.67), and API (62.53).</w:t>
      </w:r>
    </w:p>
    <w:p>
      <w:pPr>
        <w:pStyle w:val="Heading1"/>
      </w:pPr>
      <w:r>
        <w:t>9. Key Findings from the Dashboard</w:t>
      </w:r>
    </w:p>
    <w:p>
      <w:pPr>
        <w:pStyle w:val="ListBullet"/>
      </w:pPr>
      <w:r>
        <w:t>The dashboard covers 1,499 transactions involving 299 unique customers and a total transaction amount of GH₵330.08K.</w:t>
      </w:r>
    </w:p>
    <w:p>
      <w:pPr>
        <w:pStyle w:val="ListBullet"/>
      </w:pPr>
      <w:r>
        <w:t>Mobile App is the largest channel by transaction amount (GH₵170K), while ApexMoney is the largest provider by both displayed transaction amount (GH₵111K) and transaction count (506).</w:t>
      </w:r>
    </w:p>
    <w:p>
      <w:pPr>
        <w:pStyle w:val="ListBullet"/>
      </w:pPr>
      <w:r>
        <w:t>Consumer transactions dominate both transaction value (GH₵237.12K) and transaction count (972) among the customer segments displayed.</w:t>
      </w:r>
    </w:p>
    <w:p>
      <w:pPr>
        <w:pStyle w:val="ListBullet"/>
      </w:pPr>
      <w:r>
        <w:t>Greater Accra records the highest transaction amount (GH₵94K) and transaction count (543) among the regions shown.</w:t>
      </w:r>
    </w:p>
    <w:p>
      <w:pPr>
        <w:pStyle w:val="ListBullet"/>
      </w:pPr>
      <w:r>
        <w:t>P2P Transfer is the largest transaction type by both amount (GH₵118K) and transaction count (463).</w:t>
      </w:r>
    </w:p>
    <w:p>
      <w:pPr>
        <w:pStyle w:val="ListBullet"/>
      </w:pPr>
      <w:r>
        <w:t>Insufficient Funds is the most frequently displayed failure reason, with 90 occurrences.</w:t>
      </w:r>
    </w:p>
    <w:p>
      <w:pPr>
        <w:pStyle w:val="ListBullet"/>
      </w:pPr>
      <w:r>
        <w:t>Failure rates differ materially across the dimensions displayed; the highest displayed rates are Northern by region (26.97%), USSD by channel (22.73%), ApexMoney by provider (23.32%), SME by customer segment (24.40%), and Cash-Out by transaction type (26.74%).</w:t>
      </w:r>
    </w:p>
    <w:p>
      <w:pPr>
        <w:pStyle w:val="ListBullet"/>
      </w:pPr>
      <w:r>
        <w:t>The risk dashboard reports 1K high-risk transactions, an average risk score of 64.09, and 922 high-risk successful transactions.</w:t>
      </w:r>
    </w:p>
    <w:p>
      <w:pPr>
        <w:pStyle w:val="ListBullet"/>
      </w:pPr>
      <w:r>
        <w:t>KasaPay has the highest displayed average provider risk score (65.41), while Mobile App has the highest displayed average channel risk score (65.07).</w:t>
      </w:r>
    </w:p>
    <w:p>
      <w:pPr>
        <w:pStyle w:val="Heading1"/>
      </w:pPr>
      <w:r>
        <w:t>10. Business Interpretation</w:t>
      </w:r>
    </w:p>
    <w:p>
      <w:r>
        <w:t>The dashboard indicates that transaction activity is concentrated in particular channels, providers, customer segments, transaction types, and regions. These concentrations provide useful areas for operational monitoring and further analysis.</w:t>
      </w:r>
    </w:p>
    <w:p>
      <w:r>
        <w:t>The failure-rate visuals can be used to identify dimensions requiring closer review, while the risk visuals provide additional indicators for examining potentially higher-risk transaction behaviour. The dashboard itself describes associations and distributions; it does not establish that a particular channel, provider, region, or transaction type causes failures or higher risk scores.</w:t>
      </w:r>
    </w:p>
    <w:p>
      <w:pPr>
        <w:pStyle w:val="Heading1"/>
      </w:pPr>
      <w:r>
        <w:t>11. Areas for Further Investigation</w:t>
      </w:r>
    </w:p>
    <w:p>
      <w:pPr>
        <w:pStyle w:val="ListBullet"/>
      </w:pPr>
      <w:r>
        <w:t>Investigate the operational causes of the high frequency of Insufficient Funds failures.</w:t>
      </w:r>
    </w:p>
    <w:p>
      <w:pPr>
        <w:pStyle w:val="ListBullet"/>
      </w:pPr>
      <w:r>
        <w:t>Review USSD and Cash-Out transactions in more detail because their displayed failure rates are comparatively high within their respective dimensions.</w:t>
      </w:r>
    </w:p>
    <w:p>
      <w:pPr>
        <w:pStyle w:val="ListBullet"/>
      </w:pPr>
      <w:r>
        <w:t>Examine transactions in Northern, Ashanti, and Bono alongside transaction volume and customer composition to understand the displayed regional failure-rate differences.</w:t>
      </w:r>
    </w:p>
    <w:p>
      <w:pPr>
        <w:pStyle w:val="ListBullet"/>
      </w:pPr>
      <w:r>
        <w:t>Investigate high-risk successful transactions, particularly the 922 transactions identified by the dashboard.</w:t>
      </w:r>
    </w:p>
    <w:p>
      <w:pPr>
        <w:pStyle w:val="ListBullet"/>
      </w:pPr>
      <w:r>
        <w:t>Examine the relationship between transaction velocity, failed attempts, device changes, and risk score using the detailed transaction records.</w:t>
      </w:r>
    </w:p>
    <w:p>
      <w:pPr>
        <w:pStyle w:val="ListBullet"/>
      </w:pPr>
      <w:r>
        <w:t>Segment future analysis by time, provider, channel, customer segment, and transaction type to identify combinations associated with elevated failure or risk indicators.</w:t>
      </w:r>
    </w:p>
    <w:p>
      <w:pPr>
        <w:pStyle w:val="Heading1"/>
      </w:pPr>
      <w:r>
        <w:t>12. Limitations</w:t>
      </w:r>
    </w:p>
    <w:p>
      <w:r>
        <w:t>This report is based solely on the values and visuals presented in the supplied Power BI dashboard. The dashboard does not provide the underlying transaction-level dataset, data dictionary, calculation definitions, time period covered, or detailed methodology for the risk-score and failure-rate calculations. Consequently, this report describes the displayed results but does not independently validate the underlying calculations.</w:t>
      </w:r>
    </w:p>
    <w:p>
      <w:r>
        <w:t>Some dashboard visuals are graphical and the supplied PDF extraction does not expose every individual plotted value. Where exact values were not displayed in the dashboard text, this report avoids assigning additional numerical values.</w:t>
      </w:r>
    </w:p>
    <w:p>
      <w:pPr>
        <w:pStyle w:val="Heading1"/>
      </w:pPr>
      <w:r>
        <w:t>13. Conclusion</w:t>
      </w:r>
    </w:p>
    <w:p>
      <w:r>
        <w:t>The Financial Transaction Analysis Dashboard provides a consolidated view of transaction performance, customer and geographic activity, transaction timing, failures, and risk. The results show GH₵330.08K in transaction value across 1,499 transactions and 299 unique customers, with clear differences across channels, providers, regions, customer segments, transaction types, and risk dimensions.</w:t>
      </w:r>
    </w:p>
    <w:p>
      <w:r>
        <w:t>The dashboard can serve as a monitoring and investigation tool by directing attention to transaction concentrations, recurring failure reasons, elevated failure-rate groups, and higher-risk transaction activity. Further analysis using the underlying transaction-level data would allow these patterns to be examined in greater detail and tested against additional operational and customer variables.</w:t>
      </w:r>
    </w:p>
    <w:p>
      <w:pPr>
        <w:pStyle w:val="Heading1"/>
      </w:pPr>
      <w:r>
        <w:t>14. Source</w:t>
      </w:r>
    </w:p>
    <w:p>
      <w:r>
        <w:t>Source: Financial Transaction Analysis Dashboard, Power BI Desktop, supplied as an 8-page PDF for this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Financial Transaction Analysis | Power BI Dashboard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