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60" w:before="0"/>
        <w:jc w:val="center"/>
      </w:pPr>
      <w:r>
        <w:rPr>
          <w:rFonts w:ascii="Arial" w:cs="Arial" w:eastAsia="Arial" w:hAnsi="Arial"/>
          <w:b/>
          <w:bCs/>
          <w:color w:val="1B4F8A"/>
          <w:sz w:val="48"/>
          <w:szCs w:val="48"/>
        </w:rPr>
        <w:t xml:space="preserve">RETAIL RECOMMENDER SYSTEM</w:t>
      </w:r>
    </w:p>
    <w:p>
      <w:pPr>
        <w:spacing w:after="120" w:before="0"/>
        <w:jc w:val="center"/>
      </w:pPr>
      <w:r>
        <w:rPr>
          <w:rFonts w:ascii="Arial" w:cs="Arial" w:eastAsia="Arial" w:hAnsi="Arial"/>
          <w:color w:val="0D7377"/>
          <w:sz w:val="32"/>
          <w:szCs w:val="32"/>
        </w:rPr>
        <w:t xml:space="preserve">Integración Liquid AI — Impacto de Negocio</w:t>
      </w:r>
    </w:p>
    <w:p>
      <w:pPr>
        <w:pBdr>
          <w:bottom w:val="single" w:color="C5D3E0" w:sz="4" w:space="1"/>
        </w:pBdr>
        <w:spacing w:after="200" w:before="20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color w:val="666666"/>
                <w:sz w:val="20"/>
                <w:szCs w:val="20"/>
              </w:rPr>
              <w:t xml:space="preserve">Versión: v2.1.0</w:t>
            </w:r>
          </w:p>
          <w:p>
            <w:r>
              <w:rPr>
                <w:rFonts w:ascii="Arial" w:cs="Arial" w:eastAsia="Arial" w:hAnsi="Arial"/>
                <w:color w:val="666666"/>
                <w:sz w:val="20"/>
                <w:szCs w:val="20"/>
              </w:rPr>
              <w:t xml:space="preserve">Fecha: Abril 2026</w:t>
            </w:r>
          </w:p>
        </w:tc>
        <w:tc>
          <w:tcPr>
            <w:tcW w:type="dxa" w:w="4680"/>
            <w:tcBorders>
              <w:top w:val="none" w:color="FFFFFF" w:sz="0"/>
              <w:left w:val="none" w:color="FFFFFF" w:sz="0"/>
              <w:bottom w:val="none" w:color="FFFFFF" w:sz="0"/>
              <w:right w:val="none" w:color="FFFFFF" w:sz="0"/>
            </w:tcBorders>
            <w:tcMar>
              <w:top w:type="dxa" w:w="80"/>
              <w:left w:type="dxa" w:w="80"/>
              <w:bottom w:type="dxa" w:w="80"/>
              <w:right w:type="dxa" w:w="0"/>
            </w:tcMar>
          </w:tcPr>
          <w:p>
            <w:pPr>
              <w:jc w:val="right"/>
            </w:pPr>
            <w:r>
              <w:rPr>
                <w:rFonts w:ascii="Arial" w:cs="Arial" w:eastAsia="Arial" w:hAnsi="Arial"/>
                <w:color w:val="666666"/>
                <w:sz w:val="20"/>
                <w:szCs w:val="20"/>
              </w:rPr>
              <w:t xml:space="preserve">Estado: </w:t>
            </w:r>
            <w:r>
              <w:rPr>
                <w:rFonts w:ascii="Arial" w:cs="Arial" w:eastAsia="Arial" w:hAnsi="Arial"/>
                <w:b/>
                <w:bCs/>
                <w:color w:val="0D7377"/>
                <w:sz w:val="20"/>
                <w:szCs w:val="20"/>
              </w:rPr>
              <w:t xml:space="preserve">COMPLETADO ✓</w:t>
            </w:r>
          </w:p>
        </w:tc>
      </w:tr>
    </w:tbl>
    <w:p>
      <w:pPr>
        <w:spacing w:after="0" w:before="200"/>
      </w:pPr>
    </w:p>
    <w:p>
      <w:pPr>
        <w:pStyle w:val="Heading1"/>
        <w:spacing w:after="120" w:before="320"/>
      </w:pPr>
      <w:r>
        <w:rPr>
          <w:rFonts w:ascii="Arial" w:cs="Arial" w:eastAsia="Arial" w:hAnsi="Arial"/>
          <w:b/>
          <w:bCs/>
          <w:color w:val="1B4F8A"/>
          <w:sz w:val="32"/>
          <w:szCs w:val="32"/>
        </w:rPr>
        <w:t xml:space="preserve">¿Qué hemos implementado?</w:t>
      </w:r>
    </w:p>
    <w:p>
      <w:pPr>
        <w:spacing w:after="100" w:before="60"/>
      </w:pPr>
      <w:r>
        <w:rPr>
          <w:rFonts w:ascii="Arial" w:cs="Arial" w:eastAsia="Arial" w:hAnsi="Arial"/>
          <w:sz w:val="22"/>
          <w:szCs w:val="22"/>
        </w:rPr>
        <w:t xml:space="preserve">Hemos completado la integración de los modelos de Liquid AI en nuestro sistema de recomendaciones, reemplazando los componentes de inteligencia artificial por alternativas más eficientes sin sacrificar calidad. La integración se realizó en tres fases independientes, cada una con su propio interruptor de activación, garantizando cero riesgo durante el proceso.</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Fase</w:t>
            </w:r>
          </w:p>
        </w:tc>
        <w:tc>
          <w:tcPr>
            <w:tcW w:type="dxa" w:w="390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Qué hace</w:t>
            </w:r>
          </w:p>
        </w:tc>
        <w:tc>
          <w:tcPr>
            <w:tcW w:type="dxa" w:w="390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Beneficio clave</w:t>
            </w:r>
          </w:p>
        </w:tc>
      </w:tr>
      <w:tr>
        <w:tc>
          <w:tcPr>
            <w:tcW w:type="dxa" w:w="156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pPr>
              <w:jc w:val="center"/>
            </w:pPr>
            <w:r>
              <w:rPr>
                <w:rFonts w:ascii="Arial" w:cs="Arial" w:eastAsia="Arial" w:hAnsi="Arial"/>
                <w:b/>
                <w:bCs/>
                <w:color w:val="1B4F8A"/>
                <w:sz w:val="22"/>
                <w:szCs w:val="22"/>
              </w:rPr>
              <w:t xml:space="preserve">A</w:t>
            </w:r>
          </w:p>
        </w:tc>
        <w:tc>
          <w:tcPr>
            <w:tcW w:type="dxa" w:w="390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Personalización conversacional con LFM2-24B</w:t>
            </w:r>
          </w:p>
        </w:tc>
        <w:tc>
          <w:tcPr>
            <w:tcW w:type="dxa" w:w="3900"/>
            <w:tcBorders>
              <w:top w:val="single" w:color="C5D3E0" w:sz="1"/>
              <w:left w:val="single" w:color="C5D3E0" w:sz="1"/>
              <w:bottom w:val="single" w:color="C5D3E0" w:sz="1"/>
              <w:right w:val="single" w:color="C5D3E0" w:sz="1"/>
            </w:tcBorders>
            <w:shd w:fill="E6F4F1" w:val="clear"/>
            <w:tcMar>
              <w:top w:type="dxa" w:w="100"/>
              <w:left w:type="dxa" w:w="140"/>
              <w:bottom w:type="dxa" w:w="100"/>
              <w:right w:type="dxa" w:w="140"/>
            </w:tcMar>
          </w:tcPr>
          <w:p>
            <w:r>
              <w:rPr>
                <w:rFonts w:ascii="Arial" w:cs="Arial" w:eastAsia="Arial" w:hAnsi="Arial"/>
                <w:sz w:val="20"/>
                <w:szCs w:val="20"/>
              </w:rPr>
              <w:t xml:space="preserve">Respuestas más ricas, ~100x más barato que antes</w:t>
            </w:r>
          </w:p>
        </w:tc>
      </w:tr>
      <w:tr>
        <w:tc>
          <w:tcPr>
            <w:tcW w:type="dxa" w:w="156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pPr>
              <w:jc w:val="center"/>
            </w:pPr>
            <w:r>
              <w:rPr>
                <w:rFonts w:ascii="Arial" w:cs="Arial" w:eastAsia="Arial" w:hAnsi="Arial"/>
                <w:b/>
                <w:bCs/>
                <w:color w:val="1B4F8A"/>
                <w:sz w:val="22"/>
                <w:szCs w:val="22"/>
              </w:rPr>
              <w:t xml:space="preserve">B</w:t>
            </w:r>
          </w:p>
        </w:tc>
        <w:tc>
          <w:tcPr>
            <w:tcW w:type="dxa" w:w="390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Respuestas a preguntas de política con LFM2.5-1.2B</w:t>
            </w:r>
          </w:p>
        </w:tc>
        <w:tc>
          <w:tcPr>
            <w:tcW w:type="dxa" w:w="3900"/>
            <w:tcBorders>
              <w:top w:val="single" w:color="C5D3E0" w:sz="1"/>
              <w:left w:val="single" w:color="C5D3E0" w:sz="1"/>
              <w:bottom w:val="single" w:color="C5D3E0" w:sz="1"/>
              <w:right w:val="single" w:color="C5D3E0" w:sz="1"/>
            </w:tcBorders>
            <w:shd w:fill="E6F4F1" w:val="clear"/>
            <w:tcMar>
              <w:top w:type="dxa" w:w="100"/>
              <w:left w:type="dxa" w:w="140"/>
              <w:bottom w:type="dxa" w:w="100"/>
              <w:right w:type="dxa" w:w="140"/>
            </w:tcMar>
          </w:tcPr>
          <w:p>
            <w:r>
              <w:rPr>
                <w:rFonts w:ascii="Arial" w:cs="Arial" w:eastAsia="Arial" w:hAnsi="Arial"/>
                <w:sz w:val="20"/>
                <w:szCs w:val="20"/>
              </w:rPr>
              <w:t xml:space="preserve">Velocidad y precisión en consultas de cliente, ~15x más barato</w:t>
            </w:r>
          </w:p>
        </w:tc>
      </w:tr>
      <w:tr>
        <w:tc>
          <w:tcPr>
            <w:tcW w:type="dxa" w:w="156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pPr>
              <w:jc w:val="center"/>
            </w:pPr>
            <w:r>
              <w:rPr>
                <w:rFonts w:ascii="Arial" w:cs="Arial" w:eastAsia="Arial" w:hAnsi="Arial"/>
                <w:b/>
                <w:bCs/>
                <w:color w:val="1B4F8A"/>
                <w:sz w:val="22"/>
                <w:szCs w:val="22"/>
              </w:rPr>
              <w:t xml:space="preserve">C</w:t>
            </w:r>
          </w:p>
        </w:tc>
        <w:tc>
          <w:tcPr>
            <w:tcW w:type="dxa" w:w="390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Búsqueda semántica multilingüe con ColBERT-350M</w:t>
            </w:r>
          </w:p>
        </w:tc>
        <w:tc>
          <w:tcPr>
            <w:tcW w:type="dxa" w:w="3900"/>
            <w:tcBorders>
              <w:top w:val="single" w:color="C5D3E0" w:sz="1"/>
              <w:left w:val="single" w:color="C5D3E0" w:sz="1"/>
              <w:bottom w:val="single" w:color="C5D3E0" w:sz="1"/>
              <w:right w:val="single" w:color="C5D3E0" w:sz="1"/>
            </w:tcBorders>
            <w:shd w:fill="E6F4F1" w:val="clear"/>
            <w:tcMar>
              <w:top w:type="dxa" w:w="100"/>
              <w:left w:type="dxa" w:w="140"/>
              <w:bottom w:type="dxa" w:w="100"/>
              <w:right w:type="dxa" w:w="140"/>
            </w:tcMar>
          </w:tcPr>
          <w:p>
            <w:r>
              <w:rPr>
                <w:rFonts w:ascii="Arial" w:cs="Arial" w:eastAsia="Arial" w:hAnsi="Arial"/>
                <w:sz w:val="20"/>
                <w:szCs w:val="20"/>
              </w:rPr>
              <w:t xml:space="preserve">Encuentra productos aunque el cliente use palabras distintas</w:t>
            </w:r>
          </w:p>
        </w:tc>
      </w:tr>
    </w:tbl>
    <w:p>
      <w:pPr>
        <w:pBdr>
          <w:bottom w:val="single" w:color="C5D3E0" w:sz="4" w:space="1"/>
        </w:pBdr>
        <w:spacing w:after="200" w:before="200"/>
      </w:pPr>
    </w:p>
    <w:p>
      <w:pPr>
        <w:pStyle w:val="Heading1"/>
        <w:spacing w:after="120" w:before="320"/>
      </w:pPr>
      <w:r>
        <w:rPr>
          <w:rFonts w:ascii="Arial" w:cs="Arial" w:eastAsia="Arial" w:hAnsi="Arial"/>
          <w:b/>
          <w:bCs/>
          <w:color w:val="1B4F8A"/>
          <w:sz w:val="32"/>
          <w:szCs w:val="32"/>
        </w:rPr>
        <w:t xml:space="preserve">Problemas que teníamos antes</w:t>
      </w:r>
    </w:p>
    <w:p>
      <w:pPr>
        <w:spacing w:after="100" w:before="60"/>
      </w:pPr>
      <w:r>
        <w:rPr>
          <w:rFonts w:ascii="Arial" w:cs="Arial" w:eastAsia="Arial" w:hAnsi="Arial"/>
          <w:sz w:val="22"/>
          <w:szCs w:val="22"/>
        </w:rPr>
        <w:t xml:space="preserve">Antes de esta integración, el sistema presentaba tres limitaciones importantes que afectaban tanto la experiencia del cliente como la rentabilidad del negocio:</w:t>
      </w:r>
    </w:p>
    <w:p>
      <w:pPr>
        <w:spacing w:after="0" w:before="80"/>
      </w:pPr>
    </w:p>
    <w:p>
      <w:pPr>
        <w:pStyle w:val="ListParagraph"/>
        <w:numPr>
          <w:ilvl w:val="0"/>
          <w:numId w:val="2"/>
        </w:numPr>
        <w:spacing w:after="60" w:before="40"/>
      </w:pPr>
      <w:r>
        <w:rPr>
          <w:rFonts w:ascii="Arial" w:cs="Arial" w:eastAsia="Arial" w:hAnsi="Arial"/>
          <w:b/>
          <w:bCs/>
          <w:sz w:val="22"/>
          <w:szCs w:val="22"/>
        </w:rPr>
        <w:t xml:space="preserve">Costo de IA elevado: </w:t>
      </w:r>
      <w:r>
        <w:rPr>
          <w:rFonts w:ascii="Arial" w:cs="Arial" w:eastAsia="Arial" w:hAnsi="Arial"/>
          <w:sz w:val="22"/>
          <w:szCs w:val="22"/>
        </w:rPr>
        <w:t xml:space="preserve">La personalización de respuestas usaba Claude Sonnet, uno de los modelos más caros del mercado ($3–15 por millón de tokens). Con el volumen actual de conversaciones, esto representaba $15–40 al mes solo en esa línea de costo, con tendencia a crecer con el catálogo.</w:t>
      </w:r>
    </w:p>
    <w:p>
      <w:pPr>
        <w:pStyle w:val="ListParagraph"/>
        <w:numPr>
          <w:ilvl w:val="0"/>
          <w:numId w:val="2"/>
        </w:numPr>
        <w:spacing w:after="60" w:before="40"/>
      </w:pPr>
      <w:r>
        <w:rPr>
          <w:rFonts w:ascii="Arial" w:cs="Arial" w:eastAsia="Arial" w:hAnsi="Arial"/>
          <w:b/>
          <w:bCs/>
          <w:sz w:val="22"/>
          <w:szCs w:val="22"/>
        </w:rPr>
        <w:t xml:space="preserve">Búsqueda rígida por palabras exactas: </w:t>
      </w:r>
      <w:r>
        <w:rPr>
          <w:rFonts w:ascii="Arial" w:cs="Arial" w:eastAsia="Arial" w:hAnsi="Arial"/>
          <w:sz w:val="22"/>
          <w:szCs w:val="22"/>
        </w:rPr>
        <w:t xml:space="preserve">El sistema de búsqueda de productos solo funcionaba bien cuando el cliente usaba las palabras exactas del catálogo. Si alguien buscaba "prenda azulada" pero el producto se llamaba "vestido azul", el sistema no lo encontraba. Esto penalizaba especialmente a clientes de distintos países que usan variantes regionales del español.</w:t>
      </w:r>
    </w:p>
    <w:p>
      <w:pPr>
        <w:pStyle w:val="ListParagraph"/>
        <w:numPr>
          <w:ilvl w:val="0"/>
          <w:numId w:val="2"/>
        </w:numPr>
        <w:spacing w:after="60" w:before="40"/>
      </w:pPr>
      <w:r>
        <w:rPr>
          <w:rFonts w:ascii="Arial" w:cs="Arial" w:eastAsia="Arial" w:hAnsi="Arial"/>
          <w:b/>
          <w:bCs/>
          <w:sz w:val="22"/>
          <w:szCs w:val="22"/>
        </w:rPr>
        <w:t xml:space="preserve">Respuestas genéricas en consultas de política: </w:t>
      </w:r>
      <w:r>
        <w:rPr>
          <w:rFonts w:ascii="Arial" w:cs="Arial" w:eastAsia="Arial" w:hAnsi="Arial"/>
          <w:sz w:val="22"/>
          <w:szCs w:val="22"/>
        </w:rPr>
        <w:t xml:space="preserve">Cuando un cliente preguntaba algo específico como "¿Puedo pagar con Mastercard?", el sistema devolvía todo el documento de métodos de pago en lugar de responder directamente. La experiencia era más parecida a leer una FAQ que a hablar con un asistente real.</w:t>
      </w:r>
    </w:p>
    <w:p>
      <w:pPr>
        <w:pBdr>
          <w:bottom w:val="single" w:color="C5D3E0" w:sz="4" w:space="1"/>
        </w:pBdr>
        <w:spacing w:after="200" w:before="200"/>
      </w:pPr>
    </w:p>
    <w:p>
      <w:pPr>
        <w:pStyle w:val="Heading1"/>
        <w:spacing w:after="120" w:before="320"/>
      </w:pPr>
      <w:r>
        <w:rPr>
          <w:rFonts w:ascii="Arial" w:cs="Arial" w:eastAsia="Arial" w:hAnsi="Arial"/>
          <w:b/>
          <w:bCs/>
          <w:color w:val="1B4F8A"/>
          <w:sz w:val="32"/>
          <w:szCs w:val="32"/>
        </w:rPr>
        <w:t xml:space="preserve">Nuevas capacidades habilitadas</w:t>
      </w:r>
    </w:p>
    <w:p>
      <w:pPr>
        <w:pStyle w:val="Heading2"/>
        <w:spacing w:after="80" w:before="260"/>
      </w:pPr>
      <w:r>
        <w:rPr>
          <w:rFonts w:ascii="Arial" w:cs="Arial" w:eastAsia="Arial" w:hAnsi="Arial"/>
          <w:b/>
          <w:bCs/>
          <w:color w:val="1B4F8A"/>
          <w:sz w:val="26"/>
          <w:szCs w:val="26"/>
        </w:rPr>
        <w:t xml:space="preserve">Recomendaciones más precisas</w:t>
      </w:r>
    </w:p>
    <w:p>
      <w:pPr>
        <w:spacing w:after="100" w:before="60"/>
      </w:pPr>
      <w:r>
        <w:rPr>
          <w:rFonts w:ascii="Arial" w:cs="Arial" w:eastAsia="Arial" w:hAnsi="Arial"/>
          <w:sz w:val="22"/>
          <w:szCs w:val="22"/>
        </w:rPr>
        <w:t xml:space="preserve">La Fase A incorpora un modelo LFM2-24B que genera respuestas de personalización conversacional. En la práctica, esto significa que cuando un cliente dice "busco algo para una boda en Viña del Mar en noviembre", el sistema ahora puede tener en cuenta el contexto climático, la ocasión y el mercado chileno, no solo las palabras clave del catálogo.</w:t>
      </w:r>
    </w:p>
    <w:p>
      <w:pPr>
        <w:spacing w:after="0" w:before="60"/>
      </w:pPr>
    </w:p>
    <w:p>
      <w:pPr>
        <w:pStyle w:val="Heading2"/>
        <w:spacing w:after="80" w:before="260"/>
      </w:pPr>
      <w:r>
        <w:rPr>
          <w:rFonts w:ascii="Arial" w:cs="Arial" w:eastAsia="Arial" w:hAnsi="Arial"/>
          <w:b/>
          <w:bCs/>
          <w:color w:val="1B4F8A"/>
          <w:sz w:val="26"/>
          <w:szCs w:val="26"/>
        </w:rPr>
        <w:t xml:space="preserve">Comprensión semántica del catálogo</w:t>
      </w:r>
    </w:p>
    <w:p>
      <w:pPr>
        <w:spacing w:after="100" w:before="60"/>
      </w:pPr>
      <w:r>
        <w:rPr>
          <w:rFonts w:ascii="Arial" w:cs="Arial" w:eastAsia="Arial" w:hAnsi="Arial"/>
          <w:sz w:val="22"/>
          <w:szCs w:val="22"/>
        </w:rPr>
        <w:t xml:space="preserve">La Fase C introduce ColBERT, un modelo de embeddings que "entiende" el significado detrás de las palabras. Ejemplo concreto: si una clienta escribe "vestido elegante de gala" pero en el catálogo ese producto se llama "Evening Gown Black Tie", el sistema ahora los conecta correctamente. Esto es especialmente relevante para tiendas con catálogos en inglés que atienden clientes hispanohablantes.</w:t>
      </w:r>
    </w:p>
    <w:p>
      <w:pPr>
        <w:spacing w:after="0" w:before="60"/>
      </w:pPr>
    </w:p>
    <w:p>
      <w:pPr>
        <w:pStyle w:val="Heading2"/>
        <w:spacing w:after="80" w:before="260"/>
      </w:pPr>
      <w:r>
        <w:rPr>
          <w:rFonts w:ascii="Arial" w:cs="Arial" w:eastAsia="Arial" w:hAnsi="Arial"/>
          <w:b/>
          <w:bCs/>
          <w:color w:val="1B4F8A"/>
          <w:sz w:val="26"/>
          <w:szCs w:val="26"/>
        </w:rPr>
        <w:t xml:space="preserve">Respuestas directas a preguntas de política</w:t>
      </w:r>
    </w:p>
    <w:p>
      <w:pPr>
        <w:spacing w:after="100" w:before="60"/>
      </w:pPr>
      <w:r>
        <w:rPr>
          <w:rFonts w:ascii="Arial" w:cs="Arial" w:eastAsia="Arial" w:hAnsi="Arial"/>
          <w:sz w:val="22"/>
          <w:szCs w:val="22"/>
        </w:rPr>
        <w:t xml:space="preserve">La Fase B permite que cuando un cliente pregunta algo concreto como "¿aceptan Paypal en Chile?", el sistema lea el documento de métodos de pago y responda directamente esa pregunta en 2-3 frases, en el idioma del cliente. Ya no se muestra el documento completo: se responde la pregunta.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180"/>
              <w:bottom w:type="dxa" w:w="120"/>
              <w:right w:type="dxa" w:w="180"/>
            </w:tcMar>
          </w:tcPr>
          <w:p>
            <w:pPr>
              <w:spacing w:after="60" w:before="0"/>
            </w:pPr>
            <w:r>
              <w:rPr>
                <w:rFonts w:ascii="Arial" w:cs="Arial" w:eastAsia="Arial" w:hAnsi="Arial"/>
                <w:b/>
                <w:bCs/>
                <w:color w:val="1B4F8A"/>
                <w:sz w:val="22"/>
                <w:szCs w:val="22"/>
              </w:rPr>
              <w:t xml:space="preserve">Resultado combinado</w:t>
            </w:r>
          </w:p>
          <w:p>
            <w:pPr>
              <w:spacing w:after="0" w:before="0"/>
            </w:pPr>
            <w:r>
              <w:rPr>
                <w:rFonts w:ascii="Arial" w:cs="Arial" w:eastAsia="Arial" w:hAnsi="Arial"/>
                <w:color w:val="333333"/>
                <w:sz w:val="22"/>
                <w:szCs w:val="22"/>
              </w:rPr>
              <w:t xml:space="preserve">Un cliente puede ahora mantener una conversación real con el widget: preguntar por un producto, obtener recomendaciones relevantes en su idioma, aclarar dudas de política y recibir respuestas contextualizadas — todo dentro de la misma sesión conversacional.</w:t>
            </w:r>
          </w:p>
        </w:tc>
      </w:tr>
    </w:tbl>
    <w:p>
      <w:pPr>
        <w:pBdr>
          <w:bottom w:val="single" w:color="C5D3E0" w:sz="4" w:space="1"/>
        </w:pBdr>
        <w:spacing w:after="200" w:before="200"/>
      </w:pPr>
    </w:p>
    <w:p>
      <w:pPr>
        <w:pStyle w:val="Heading1"/>
        <w:spacing w:after="120" w:before="320"/>
      </w:pPr>
      <w:r>
        <w:rPr>
          <w:rFonts w:ascii="Arial" w:cs="Arial" w:eastAsia="Arial" w:hAnsi="Arial"/>
          <w:b/>
          <w:bCs/>
          <w:color w:val="1B4F8A"/>
          <w:sz w:val="32"/>
          <w:szCs w:val="32"/>
        </w:rPr>
        <w:t xml:space="preserve">Cómo funciona (visión general)</w:t>
      </w:r>
    </w:p>
    <w:p>
      <w:pPr>
        <w:spacing w:after="100" w:before="60"/>
      </w:pPr>
      <w:r>
        <w:rPr>
          <w:rFonts w:ascii="Arial" w:cs="Arial" w:eastAsia="Arial" w:hAnsi="Arial"/>
          <w:sz w:val="22"/>
          <w:szCs w:val="22"/>
        </w:rPr>
        <w:t xml:space="preserve">Sin tecnicismos: cuando un cliente escribe un mensaje en el chat del widget, el sistema realiza cuatro pasos en menos de 7 segundos: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none" w:color="FFFFFF" w:sz="0"/>
              <w:left w:val="none" w:color="FFFFFF" w:sz="0"/>
              <w:bottom w:val="none" w:color="FFFFFF" w:sz="0"/>
              <w:right w:val="none" w:color="FFFFFF" w:sz="0"/>
            </w:tcBorders>
            <w:shd w:fill="1B4F8A" w:val="clear"/>
            <w:tcMar>
              <w:top w:type="dxa" w:w="80"/>
              <w:left w:type="dxa" w:w="0"/>
              <w:bottom w:type="dxa" w:w="80"/>
              <w:right w:type="dxa" w:w="80"/>
            </w:tcMar>
          </w:tcPr>
          <w:p>
            <w:pPr>
              <w:jc w:val="center"/>
            </w:pPr>
            <w:r>
              <w:rPr>
                <w:rFonts w:ascii="Arial" w:cs="Arial" w:eastAsia="Arial" w:hAnsi="Arial"/>
                <w:b/>
                <w:bCs/>
                <w:color w:val="FFFFFF"/>
                <w:sz w:val="24"/>
                <w:szCs w:val="24"/>
              </w:rPr>
              <w:t xml:space="preserve">1</w:t>
            </w:r>
          </w:p>
        </w:tc>
        <w:tc>
          <w:tcPr>
            <w:tcW w:type="dxa" w:w="8580"/>
            <w:tcBorders>
              <w:top w:val="none" w:color="FFFFFF" w:sz="0"/>
              <w:left w:val="none" w:color="FFFFFF" w:sz="0"/>
              <w:bottom w:val="none" w:color="FFFFFF" w:sz="0"/>
              <w:right w:val="none" w:color="FFFFFF" w:sz="0"/>
            </w:tcBorders>
            <w:tcMar>
              <w:top w:type="dxa" w:w="80"/>
              <w:left w:type="dxa" w:w="140"/>
              <w:bottom w:type="dxa" w:w="80"/>
              <w:right w:type="dxa" w:w="0"/>
            </w:tcMar>
          </w:tcPr>
          <w:p>
            <w:r>
              <w:rPr>
                <w:rFonts w:ascii="Arial" w:cs="Arial" w:eastAsia="Arial" w:hAnsi="Arial"/>
                <w:sz w:val="22"/>
                <w:szCs w:val="22"/>
              </w:rPr>
              <w:t xml:space="preserve">Clasifica la intención: ¿el cliente quiere productos o tiene una pregunta de política?</w:t>
            </w:r>
          </w:p>
        </w:tc>
      </w:tr>
      <w:tr>
        <w:tc>
          <w:tcPr>
            <w:tcW w:type="dxa" w:w="780"/>
            <w:tcBorders>
              <w:top w:val="none" w:color="FFFFFF" w:sz="0"/>
              <w:left w:val="none" w:color="FFFFFF" w:sz="0"/>
              <w:bottom w:val="none" w:color="FFFFFF" w:sz="0"/>
              <w:right w:val="none" w:color="FFFFFF" w:sz="0"/>
            </w:tcBorders>
            <w:shd w:fill="1B4F8A" w:val="clear"/>
            <w:tcMar>
              <w:top w:type="dxa" w:w="80"/>
              <w:left w:type="dxa" w:w="0"/>
              <w:bottom w:type="dxa" w:w="80"/>
              <w:right w:type="dxa" w:w="80"/>
            </w:tcMar>
          </w:tcPr>
          <w:p>
            <w:pPr>
              <w:jc w:val="center"/>
            </w:pPr>
            <w:r>
              <w:rPr>
                <w:rFonts w:ascii="Arial" w:cs="Arial" w:eastAsia="Arial" w:hAnsi="Arial"/>
                <w:b/>
                <w:bCs/>
                <w:color w:val="FFFFFF"/>
                <w:sz w:val="24"/>
                <w:szCs w:val="24"/>
              </w:rPr>
              <w:t xml:space="preserve">2</w:t>
            </w:r>
          </w:p>
        </w:tc>
        <w:tc>
          <w:tcPr>
            <w:tcW w:type="dxa" w:w="8580"/>
            <w:tcBorders>
              <w:top w:val="none" w:color="FFFFFF" w:sz="0"/>
              <w:left w:val="none" w:color="FFFFFF" w:sz="0"/>
              <w:bottom w:val="none" w:color="FFFFFF" w:sz="0"/>
              <w:right w:val="none" w:color="FFFFFF" w:sz="0"/>
            </w:tcBorders>
            <w:tcMar>
              <w:top w:type="dxa" w:w="80"/>
              <w:left w:type="dxa" w:w="140"/>
              <w:bottom w:type="dxa" w:w="80"/>
              <w:right w:type="dxa" w:w="0"/>
            </w:tcMar>
          </w:tcPr>
          <w:p>
            <w:r>
              <w:rPr>
                <w:rFonts w:ascii="Arial" w:cs="Arial" w:eastAsia="Arial" w:hAnsi="Arial"/>
                <w:sz w:val="22"/>
                <w:szCs w:val="22"/>
              </w:rPr>
              <w:t xml:space="preserve">Si quiere productos: busca en el catálogo usando ColBERT (semántica) o TF-IDF (palabras exactas) y combina con el historial conversacional para no repetir lo ya mostrado.</w:t>
            </w:r>
          </w:p>
        </w:tc>
      </w:tr>
      <w:tr>
        <w:tc>
          <w:tcPr>
            <w:tcW w:type="dxa" w:w="780"/>
            <w:tcBorders>
              <w:top w:val="none" w:color="FFFFFF" w:sz="0"/>
              <w:left w:val="none" w:color="FFFFFF" w:sz="0"/>
              <w:bottom w:val="none" w:color="FFFFFF" w:sz="0"/>
              <w:right w:val="none" w:color="FFFFFF" w:sz="0"/>
            </w:tcBorders>
            <w:shd w:fill="1B4F8A" w:val="clear"/>
            <w:tcMar>
              <w:top w:type="dxa" w:w="80"/>
              <w:left w:type="dxa" w:w="0"/>
              <w:bottom w:type="dxa" w:w="80"/>
              <w:right w:type="dxa" w:w="80"/>
            </w:tcMar>
          </w:tcPr>
          <w:p>
            <w:pPr>
              <w:jc w:val="center"/>
            </w:pPr>
            <w:r>
              <w:rPr>
                <w:rFonts w:ascii="Arial" w:cs="Arial" w:eastAsia="Arial" w:hAnsi="Arial"/>
                <w:b/>
                <w:bCs/>
                <w:color w:val="FFFFFF"/>
                <w:sz w:val="24"/>
                <w:szCs w:val="24"/>
              </w:rPr>
              <w:t xml:space="preserve">3</w:t>
            </w:r>
          </w:p>
        </w:tc>
        <w:tc>
          <w:tcPr>
            <w:tcW w:type="dxa" w:w="8580"/>
            <w:tcBorders>
              <w:top w:val="none" w:color="FFFFFF" w:sz="0"/>
              <w:left w:val="none" w:color="FFFFFF" w:sz="0"/>
              <w:bottom w:val="none" w:color="FFFFFF" w:sz="0"/>
              <w:right w:val="none" w:color="FFFFFF" w:sz="0"/>
            </w:tcBorders>
            <w:tcMar>
              <w:top w:type="dxa" w:w="80"/>
              <w:left w:type="dxa" w:w="140"/>
              <w:bottom w:type="dxa" w:w="80"/>
              <w:right w:type="dxa" w:w="0"/>
            </w:tcMar>
          </w:tcPr>
          <w:p>
            <w:r>
              <w:rPr>
                <w:rFonts w:ascii="Arial" w:cs="Arial" w:eastAsia="Arial" w:hAnsi="Arial"/>
                <w:sz w:val="22"/>
                <w:szCs w:val="22"/>
              </w:rPr>
              <w:t xml:space="preserve">Si tiene una pregunta: busca en la base de conocimiento y genera una respuesta directa de 2-3 frases.</w:t>
            </w:r>
          </w:p>
        </w:tc>
      </w:tr>
      <w:tr>
        <w:tc>
          <w:tcPr>
            <w:tcW w:type="dxa" w:w="780"/>
            <w:tcBorders>
              <w:top w:val="none" w:color="FFFFFF" w:sz="0"/>
              <w:left w:val="none" w:color="FFFFFF" w:sz="0"/>
              <w:bottom w:val="none" w:color="FFFFFF" w:sz="0"/>
              <w:right w:val="none" w:color="FFFFFF" w:sz="0"/>
            </w:tcBorders>
            <w:shd w:fill="1B4F8A" w:val="clear"/>
            <w:tcMar>
              <w:top w:type="dxa" w:w="80"/>
              <w:left w:type="dxa" w:w="0"/>
              <w:bottom w:type="dxa" w:w="80"/>
              <w:right w:type="dxa" w:w="80"/>
            </w:tcMar>
          </w:tcPr>
          <w:p>
            <w:pPr>
              <w:jc w:val="center"/>
            </w:pPr>
            <w:r>
              <w:rPr>
                <w:rFonts w:ascii="Arial" w:cs="Arial" w:eastAsia="Arial" w:hAnsi="Arial"/>
                <w:b/>
                <w:bCs/>
                <w:color w:val="FFFFFF"/>
                <w:sz w:val="24"/>
                <w:szCs w:val="24"/>
              </w:rPr>
              <w:t xml:space="preserve">4</w:t>
            </w:r>
          </w:p>
        </w:tc>
        <w:tc>
          <w:tcPr>
            <w:tcW w:type="dxa" w:w="8580"/>
            <w:tcBorders>
              <w:top w:val="none" w:color="FFFFFF" w:sz="0"/>
              <w:left w:val="none" w:color="FFFFFF" w:sz="0"/>
              <w:bottom w:val="none" w:color="FFFFFF" w:sz="0"/>
              <w:right w:val="none" w:color="FFFFFF" w:sz="0"/>
            </w:tcBorders>
            <w:tcMar>
              <w:top w:type="dxa" w:w="80"/>
              <w:left w:type="dxa" w:w="140"/>
              <w:bottom w:type="dxa" w:w="80"/>
              <w:right w:type="dxa" w:w="0"/>
            </w:tcMar>
          </w:tcPr>
          <w:p>
            <w:r>
              <w:rPr>
                <w:rFonts w:ascii="Arial" w:cs="Arial" w:eastAsia="Arial" w:hAnsi="Arial"/>
                <w:sz w:val="22"/>
                <w:szCs w:val="22"/>
              </w:rPr>
              <w:t xml:space="preserve">Personaliza la respuesta: adapta el tono, el idioma y el contexto de mercado (precios en CLP, CHF, MXN o EUR según corresponda).</w:t>
            </w:r>
          </w:p>
        </w:tc>
      </w:tr>
    </w:tbl>
    <w:p>
      <w:pPr>
        <w:spacing w:after="0" w:before="80"/>
      </w:pPr>
    </w:p>
    <w:p>
      <w:pPr>
        <w:spacing w:after="100" w:before="60"/>
      </w:pPr>
      <w:r>
        <w:rPr>
          <w:rFonts w:ascii="Arial" w:cs="Arial" w:eastAsia="Arial" w:hAnsi="Arial"/>
          <w:sz w:val="22"/>
          <w:szCs w:val="22"/>
        </w:rPr>
        <w:t xml:space="preserve">Todo esto ocurre con fallback automático: si algún componente de Liquid AI falla, el sistema vuelve al comportamiento anterior (Claude) de forma transparente para el usuario. No hay interrupciones de servicio.</w:t>
      </w:r>
    </w:p>
    <w:p>
      <w:pPr>
        <w:pBdr>
          <w:bottom w:val="single" w:color="C5D3E0" w:sz="4" w:space="1"/>
        </w:pBdr>
        <w:spacing w:after="200" w:before="200"/>
      </w:pPr>
    </w:p>
    <w:p>
      <w:pPr>
        <w:pStyle w:val="Heading1"/>
        <w:spacing w:after="120" w:before="320"/>
      </w:pPr>
      <w:r>
        <w:rPr>
          <w:rFonts w:ascii="Arial" w:cs="Arial" w:eastAsia="Arial" w:hAnsi="Arial"/>
          <w:b/>
          <w:bCs/>
          <w:color w:val="1B4F8A"/>
          <w:sz w:val="32"/>
          <w:szCs w:val="32"/>
        </w:rPr>
        <w:t xml:space="preserve">Impacto esperado en el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Conversión</w:t>
            </w:r>
          </w:p>
        </w:tc>
        <w:tc>
          <w:tcPr>
            <w:tcW w:type="dxa" w:w="312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Engagement</w:t>
            </w:r>
          </w:p>
        </w:tc>
        <w:tc>
          <w:tcPr>
            <w:tcW w:type="dxa" w:w="312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Experiencia de usuario</w:t>
            </w:r>
          </w:p>
        </w:tc>
      </w:tr>
      <w:tr>
        <w:tc>
          <w:tcPr>
            <w:tcW w:type="dxa" w:w="312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spacing w:after="60" w:before="0"/>
            </w:pPr>
            <w:r>
              <w:rPr>
                <w:rFonts w:ascii="Arial" w:cs="Arial" w:eastAsia="Arial" w:hAnsi="Arial"/>
                <w:sz w:val="20"/>
                <w:szCs w:val="20"/>
              </w:rPr>
              <w:t xml:space="preserve">Más productos encontrados correctamente → menos abandonos en la búsqueda.</w:t>
            </w:r>
          </w:p>
          <w:p>
            <w:pPr>
              <w:spacing w:after="60" w:before="0"/>
            </w:pPr>
            <w:r>
              <w:rPr>
                <w:rFonts w:ascii="Arial" w:cs="Arial" w:eastAsia="Arial" w:hAnsi="Arial"/>
                <w:sz w:val="20"/>
                <w:szCs w:val="20"/>
              </w:rPr>
              <w:t xml:space="preserve">Respuestas a dudas de pago/devolución en el momento → menos fricción en el checkout.</w:t>
            </w:r>
          </w:p>
        </w:tc>
        <w:tc>
          <w:tcPr>
            <w:tcW w:type="dxa" w:w="312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spacing w:after="60" w:before="0"/>
            </w:pPr>
            <w:r>
              <w:rPr>
                <w:rFonts w:ascii="Arial" w:cs="Arial" w:eastAsia="Arial" w:hAnsi="Arial"/>
                <w:sz w:val="20"/>
                <w:szCs w:val="20"/>
              </w:rPr>
              <w:t xml:space="preserve">Conversaciones más largas y más útiles gracias a la memoria multi-turno.</w:t>
            </w:r>
          </w:p>
          <w:p>
            <w:pPr>
              <w:spacing w:after="60" w:before="0"/>
            </w:pPr>
            <w:r>
              <w:rPr>
                <w:rFonts w:ascii="Arial" w:cs="Arial" w:eastAsia="Arial" w:hAnsi="Arial"/>
                <w:sz w:val="20"/>
                <w:szCs w:val="20"/>
              </w:rPr>
              <w:t xml:space="preserve">El widget recuerda qué se mostró y no repite recomendaciones.</w:t>
            </w:r>
          </w:p>
        </w:tc>
        <w:tc>
          <w:tcPr>
            <w:tcW w:type="dxa" w:w="3120"/>
            <w:tcBorders>
              <w:top w:val="single" w:color="C5D3E0" w:sz="1"/>
              <w:left w:val="single" w:color="C5D3E0" w:sz="1"/>
              <w:bottom w:val="single" w:color="C5D3E0" w:sz="1"/>
              <w:right w:val="single" w:color="C5D3E0" w:sz="1"/>
            </w:tcBorders>
            <w:shd w:fill="E6F4F1" w:val="clear"/>
            <w:tcMar>
              <w:top w:type="dxa" w:w="100"/>
              <w:left w:type="dxa" w:w="140"/>
              <w:bottom w:type="dxa" w:w="100"/>
              <w:right w:type="dxa" w:w="140"/>
            </w:tcMar>
          </w:tcPr>
          <w:p>
            <w:pPr>
              <w:spacing w:after="60" w:before="0"/>
            </w:pPr>
            <w:r>
              <w:rPr>
                <w:rFonts w:ascii="Arial" w:cs="Arial" w:eastAsia="Arial" w:hAnsi="Arial"/>
                <w:sz w:val="20"/>
                <w:szCs w:val="20"/>
              </w:rPr>
              <w:t xml:space="preserve">Respuestas en el idioma del cliente sin configuración manual.</w:t>
            </w:r>
          </w:p>
          <w:p>
            <w:pPr>
              <w:spacing w:after="60" w:before="0"/>
            </w:pPr>
            <w:r>
              <w:rPr>
                <w:rFonts w:ascii="Arial" w:cs="Arial" w:eastAsia="Arial" w:hAnsi="Arial"/>
                <w:sz w:val="20"/>
                <w:szCs w:val="20"/>
              </w:rPr>
              <w:t xml:space="preserve">Precios siempre en la moneda del mercado correcto (CLP, CHF, MXN, EUR).</w:t>
            </w:r>
          </w:p>
        </w:tc>
      </w:tr>
    </w:tbl>
    <w:p>
      <w:pPr>
        <w:pBdr>
          <w:bottom w:val="single" w:color="C5D3E0" w:sz="4" w:space="1"/>
        </w:pBdr>
        <w:spacing w:after="200" w:before="200"/>
      </w:pPr>
    </w:p>
    <w:p>
      <w:pPr>
        <w:pStyle w:val="Heading1"/>
        <w:spacing w:after="120" w:before="320"/>
      </w:pPr>
      <w:r>
        <w:rPr>
          <w:rFonts w:ascii="Arial" w:cs="Arial" w:eastAsia="Arial" w:hAnsi="Arial"/>
          <w:b/>
          <w:bCs/>
          <w:color w:val="1B4F8A"/>
          <w:sz w:val="32"/>
          <w:szCs w:val="32"/>
        </w:rPr>
        <w:t xml:space="preserve">Coste vs. Beneficio</w:t>
      </w:r>
    </w:p>
    <w:p>
      <w:pPr>
        <w:spacing w:after="100" w:before="60"/>
      </w:pPr>
      <w:r>
        <w:rPr>
          <w:rFonts w:ascii="Arial" w:cs="Arial" w:eastAsia="Arial" w:hAnsi="Arial"/>
          <w:sz w:val="22"/>
          <w:szCs w:val="22"/>
        </w:rPr>
        <w:t xml:space="preserve">La integración tiene un impacto dual en los costos: reduce el gasto en APIs de IA en aproximadamente un 90%, pero introduce un nuevo costo de infraestructura para el servicio de búsqueda semántica.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Concepto</w:t>
            </w:r>
          </w:p>
        </w:tc>
        <w:tc>
          <w:tcPr>
            <w:tcW w:type="dxa" w:w="212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Antes</w:t>
            </w:r>
          </w:p>
        </w:tc>
        <w:tc>
          <w:tcPr>
            <w:tcW w:type="dxa" w:w="212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Ahora</w:t>
            </w:r>
          </w:p>
        </w:tc>
        <w:tc>
          <w:tcPr>
            <w:tcW w:type="dxa" w:w="2000"/>
            <w:tcBorders>
              <w:top w:val="single" w:color="C5D3E0" w:sz="1"/>
              <w:left w:val="single" w:color="C5D3E0" w:sz="1"/>
              <w:bottom w:val="single" w:color="C5D3E0" w:sz="1"/>
              <w:right w:val="single" w:color="C5D3E0" w:sz="1"/>
            </w:tcBorders>
            <w:shd w:fill="1B4F8A" w:val="clear"/>
            <w:tcMar>
              <w:top w:type="dxa" w:w="100"/>
              <w:left w:type="dxa" w:w="140"/>
              <w:bottom w:type="dxa" w:w="100"/>
              <w:right w:type="dxa" w:w="140"/>
            </w:tcMar>
          </w:tcPr>
          <w:p>
            <w:r>
              <w:rPr>
                <w:rFonts w:ascii="Arial" w:cs="Arial" w:eastAsia="Arial" w:hAnsi="Arial"/>
                <w:b/>
                <w:bCs/>
                <w:color w:val="FFFFFF"/>
                <w:sz w:val="20"/>
                <w:szCs w:val="20"/>
              </w:rPr>
              <w:t xml:space="preserve">Ahorro</w:t>
            </w:r>
          </w:p>
        </w:tc>
      </w:tr>
      <w:tr>
        <w:tc>
          <w:tcPr>
            <w:tcW w:type="dxa" w:w="312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sz w:val="20"/>
                <w:szCs w:val="20"/>
              </w:rPr>
              <w:t xml:space="preserve">Personalización IA (MCP)</w:t>
            </w:r>
          </w:p>
        </w:tc>
        <w:tc>
          <w:tcPr>
            <w:tcW w:type="dxa" w:w="212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sz w:val="20"/>
                <w:szCs w:val="20"/>
              </w:rPr>
              <w:t xml:space="preserve">$15–40/mes</w:t>
            </w:r>
          </w:p>
        </w:tc>
        <w:tc>
          <w:tcPr>
            <w:tcW w:type="dxa" w:w="2120"/>
            <w:tcBorders>
              <w:top w:val="single" w:color="C5D3E0" w:sz="1"/>
              <w:left w:val="single" w:color="C5D3E0" w:sz="1"/>
              <w:bottom w:val="single" w:color="C5D3E0" w:sz="1"/>
              <w:right w:val="single" w:color="C5D3E0" w:sz="1"/>
            </w:tcBorders>
            <w:shd w:fill="E6F4F1" w:val="clear"/>
            <w:tcMar>
              <w:top w:type="dxa" w:w="100"/>
              <w:left w:type="dxa" w:w="140"/>
              <w:bottom w:type="dxa" w:w="100"/>
              <w:right w:type="dxa" w:w="140"/>
            </w:tcMar>
          </w:tcPr>
          <w:p>
            <w:pPr>
              <w:jc w:val="center"/>
            </w:pPr>
            <w:r>
              <w:rPr>
                <w:rFonts w:ascii="Arial" w:cs="Arial" w:eastAsia="Arial" w:hAnsi="Arial"/>
                <w:b/>
                <w:bCs/>
                <w:color w:val="0D7377"/>
                <w:sz w:val="20"/>
                <w:szCs w:val="20"/>
              </w:rPr>
              <w:t xml:space="preserve">$0.50–2/mes</w:t>
            </w:r>
          </w:p>
        </w:tc>
        <w:tc>
          <w:tcPr>
            <w:tcW w:type="dxa" w:w="200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color w:val="0D7377"/>
                <w:sz w:val="20"/>
                <w:szCs w:val="20"/>
              </w:rPr>
              <w:t xml:space="preserve">✓</w:t>
            </w:r>
          </w:p>
        </w:tc>
      </w:tr>
      <w:tr>
        <w:tc>
          <w:tcPr>
            <w:tcW w:type="dxa" w:w="312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Respuestas KB (Haiku)</w:t>
            </w:r>
          </w:p>
        </w:tc>
        <w:tc>
          <w:tcPr>
            <w:tcW w:type="dxa" w:w="212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sz w:val="20"/>
                <w:szCs w:val="20"/>
              </w:rPr>
              <w:t xml:space="preserve">$0.50–1.80/mes</w:t>
            </w:r>
          </w:p>
        </w:tc>
        <w:tc>
          <w:tcPr>
            <w:tcW w:type="dxa" w:w="212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$0.05–0.15/mes</w:t>
            </w:r>
          </w:p>
        </w:tc>
        <w:tc>
          <w:tcPr>
            <w:tcW w:type="dxa" w:w="200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color w:val="0D7377"/>
                <w:sz w:val="20"/>
                <w:szCs w:val="20"/>
              </w:rPr>
              <w:t xml:space="preserve">✓</w:t>
            </w:r>
          </w:p>
        </w:tc>
      </w:tr>
      <w:tr>
        <w:tc>
          <w:tcPr>
            <w:tcW w:type="dxa" w:w="312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Búsqueda semántica (ColBERT)</w:t>
            </w:r>
          </w:p>
        </w:tc>
        <w:tc>
          <w:tcPr>
            <w:tcW w:type="dxa" w:w="212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sz w:val="20"/>
                <w:szCs w:val="20"/>
              </w:rPr>
              <w:t xml:space="preserve">TF-IDF gratuito</w:t>
            </w:r>
          </w:p>
        </w:tc>
        <w:tc>
          <w:tcPr>
            <w:tcW w:type="dxa" w:w="2120"/>
            <w:tcBorders>
              <w:top w:val="single" w:color="C5D3E0" w:sz="1"/>
              <w:left w:val="single" w:color="C5D3E0" w:sz="1"/>
              <w:bottom w:val="single" w:color="C5D3E0" w:sz="1"/>
              <w:right w:val="single" w:color="C5D3E0"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$0 tokens + ~$40–60/mes infra</w:t>
            </w:r>
          </w:p>
        </w:tc>
        <w:tc>
          <w:tcPr>
            <w:tcW w:type="dxa" w:w="200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color w:val="0D7377"/>
                <w:sz w:val="20"/>
                <w:szCs w:val="20"/>
              </w:rPr>
              <w:t xml:space="preserve">✓</w:t>
            </w:r>
          </w:p>
        </w:tc>
      </w:tr>
      <w:tr>
        <w:tc>
          <w:tcPr>
            <w:tcW w:type="dxa" w:w="312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sz w:val="20"/>
                <w:szCs w:val="20"/>
              </w:rPr>
              <w:t xml:space="preserve">Total estimado</w:t>
            </w:r>
          </w:p>
        </w:tc>
        <w:tc>
          <w:tcPr>
            <w:tcW w:type="dxa" w:w="212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sz w:val="20"/>
                <w:szCs w:val="20"/>
              </w:rPr>
              <w:t xml:space="preserve">$47–107/mes</w:t>
            </w:r>
          </w:p>
        </w:tc>
        <w:tc>
          <w:tcPr>
            <w:tcW w:type="dxa" w:w="2120"/>
            <w:tcBorders>
              <w:top w:val="single" w:color="C5D3E0" w:sz="1"/>
              <w:left w:val="single" w:color="C5D3E0" w:sz="1"/>
              <w:bottom w:val="single" w:color="C5D3E0" w:sz="1"/>
              <w:right w:val="single" w:color="C5D3E0" w:sz="1"/>
            </w:tcBorders>
            <w:shd w:fill="E6F4F1" w:val="clear"/>
            <w:tcMar>
              <w:top w:type="dxa" w:w="100"/>
              <w:left w:type="dxa" w:w="140"/>
              <w:bottom w:type="dxa" w:w="100"/>
              <w:right w:type="dxa" w:w="140"/>
            </w:tcMar>
          </w:tcPr>
          <w:p>
            <w:pPr>
              <w:jc w:val="center"/>
            </w:pPr>
            <w:r>
              <w:rPr>
                <w:rFonts w:ascii="Arial" w:cs="Arial" w:eastAsia="Arial" w:hAnsi="Arial"/>
                <w:b/>
                <w:bCs/>
                <w:color w:val="0D7377"/>
                <w:sz w:val="20"/>
                <w:szCs w:val="20"/>
              </w:rPr>
              <w:t xml:space="preserve">$95–165/mes*</w:t>
            </w:r>
          </w:p>
        </w:tc>
        <w:tc>
          <w:tcPr>
            <w:tcW w:type="dxa" w:w="2000"/>
            <w:tcBorders>
              <w:top w:val="single" w:color="C5D3E0" w:sz="1"/>
              <w:left w:val="single" w:color="C5D3E0" w:sz="1"/>
              <w:bottom w:val="single" w:color="C5D3E0" w:sz="1"/>
              <w:right w:val="single" w:color="C5D3E0" w:sz="1"/>
            </w:tcBorders>
            <w:tcMar>
              <w:top w:type="dxa" w:w="100"/>
              <w:left w:type="dxa" w:w="140"/>
              <w:bottom w:type="dxa" w:w="100"/>
              <w:right w:type="dxa" w:w="140"/>
            </w:tcMar>
          </w:tcPr>
          <w:p>
            <w:pPr>
              <w:jc w:val="center"/>
            </w:pPr>
            <w:r>
              <w:rPr>
                <w:rFonts w:ascii="Arial" w:cs="Arial" w:eastAsia="Arial" w:hAnsi="Arial"/>
                <w:color w:val="0D7377"/>
                <w:sz w:val="20"/>
                <w:szCs w:val="20"/>
              </w:rPr>
              <w:t xml:space="preserv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20"/>
              <w:left w:type="dxa" w:w="180"/>
              <w:bottom w:type="dxa" w:w="120"/>
              <w:right w:type="dxa" w:w="180"/>
            </w:tcMar>
          </w:tcPr>
          <w:p>
            <w:pPr>
              <w:spacing w:after="60" w:before="0"/>
            </w:pPr>
            <w:r>
              <w:rPr>
                <w:rFonts w:ascii="Arial" w:cs="Arial" w:eastAsia="Arial" w:hAnsi="Arial"/>
                <w:b/>
                <w:bCs/>
                <w:color w:val="555555"/>
                <w:sz w:val="22"/>
                <w:szCs w:val="22"/>
              </w:rPr>
              <w:t xml:space="preserve">Nota sobre el costo total</w:t>
            </w:r>
          </w:p>
          <w:p>
            <w:pPr>
              <w:spacing w:after="0" w:before="0"/>
            </w:pPr>
            <w:r>
              <w:rPr>
                <w:rFonts w:ascii="Arial" w:cs="Arial" w:eastAsia="Arial" w:hAnsi="Arial"/>
                <w:color w:val="333333"/>
                <w:sz w:val="22"/>
                <w:szCs w:val="22"/>
              </w:rPr>
              <w:t xml:space="preserve">El incremento en el total ($47–107 → $95–165/mes) se debe principalmente a mantener el servicio de búsqueda semántica activo de forma permanente (min-instances=1), lo que además elimina los tiempos de arranque en frío. El ahorro en APIs de IA (~$30–50/mes) compensa parcialmente este costo. El beneficio neto es de calidad, no de precio.</w:t>
            </w:r>
          </w:p>
        </w:tc>
      </w:tr>
    </w:tbl>
    <w:p>
      <w:pPr>
        <w:spacing w:after="0" w:before="80"/>
      </w:pPr>
    </w:p>
    <w:p>
      <w:pPr>
        <w:pStyle w:val="Heading2"/>
        <w:spacing w:after="80" w:before="260"/>
      </w:pPr>
      <w:r>
        <w:rPr>
          <w:rFonts w:ascii="Arial" w:cs="Arial" w:eastAsia="Arial" w:hAnsi="Arial"/>
          <w:b/>
          <w:bCs/>
          <w:color w:val="1B4F8A"/>
          <w:sz w:val="26"/>
          <w:szCs w:val="26"/>
        </w:rPr>
        <w:t xml:space="preserve">ROI cualitativo</w:t>
      </w:r>
    </w:p>
    <w:p>
      <w:pPr>
        <w:pStyle w:val="ListParagraph"/>
        <w:numPr>
          <w:ilvl w:val="0"/>
          <w:numId w:val="2"/>
        </w:numPr>
        <w:spacing w:after="60" w:before="40"/>
      </w:pPr>
      <w:r>
        <w:rPr>
          <w:rFonts w:ascii="Arial" w:cs="Arial" w:eastAsia="Arial" w:hAnsi="Arial"/>
          <w:sz w:val="22"/>
          <w:szCs w:val="22"/>
        </w:rPr>
        <w:t xml:space="preserve">Sistema preparado para escalar: el costo de IA ya no crece proporcionalmente con el volumen de conversaciones.</w:t>
      </w:r>
    </w:p>
    <w:p>
      <w:pPr>
        <w:pStyle w:val="ListParagraph"/>
        <w:numPr>
          <w:ilvl w:val="0"/>
          <w:numId w:val="2"/>
        </w:numPr>
        <w:spacing w:after="60" w:before="40"/>
      </w:pPr>
      <w:r>
        <w:rPr>
          <w:rFonts w:ascii="Arial" w:cs="Arial" w:eastAsia="Arial" w:hAnsi="Arial"/>
          <w:sz w:val="22"/>
          <w:szCs w:val="22"/>
        </w:rPr>
        <w:t xml:space="preserve">Independencia de proveedores: cada componente tiene fallback y puede reemplazarse individualmente.</w:t>
      </w:r>
    </w:p>
    <w:p>
      <w:pPr>
        <w:pStyle w:val="ListParagraph"/>
        <w:numPr>
          <w:ilvl w:val="0"/>
          <w:numId w:val="2"/>
        </w:numPr>
        <w:spacing w:after="60" w:before="40"/>
      </w:pPr>
      <w:r>
        <w:rPr>
          <w:rFonts w:ascii="Arial" w:cs="Arial" w:eastAsia="Arial" w:hAnsi="Arial"/>
          <w:sz w:val="22"/>
          <w:szCs w:val="22"/>
        </w:rPr>
        <w:t xml:space="preserve">Mejora de la calidad de búsqueda: beneficio permanente para todas las tiendas, no solo una optimización de costo.</w:t>
      </w:r>
    </w:p>
    <w:p>
      <w:pPr>
        <w:pBdr>
          <w:bottom w:val="single" w:color="C5D3E0" w:sz="4" w:space="1"/>
        </w:pBdr>
        <w:spacing w:after="200" w:before="200"/>
      </w:pPr>
    </w:p>
    <w:p>
      <w:pPr>
        <w:pStyle w:val="Heading1"/>
        <w:spacing w:after="120" w:before="320"/>
      </w:pPr>
      <w:r>
        <w:rPr>
          <w:rFonts w:ascii="Arial" w:cs="Arial" w:eastAsia="Arial" w:hAnsi="Arial"/>
          <w:b/>
          <w:bCs/>
          <w:color w:val="1B4F8A"/>
          <w:sz w:val="32"/>
          <w:szCs w:val="32"/>
        </w:rPr>
        <w:t xml:space="preserve">Posibles evoluciones futuras</w:t>
      </w:r>
    </w:p>
    <w:p>
      <w:pPr>
        <w:spacing w:after="100" w:before="60"/>
      </w:pPr>
      <w:r>
        <w:rPr>
          <w:rFonts w:ascii="Arial" w:cs="Arial" w:eastAsia="Arial" w:hAnsi="Arial"/>
          <w:sz w:val="22"/>
          <w:szCs w:val="22"/>
        </w:rPr>
        <w:t xml:space="preserve">La arquitectura implementada está diseñada para crecer. Las siguientes mejoras son directamente posibles sin cambios estructurales: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color w:val="1B4F8A"/>
                <w:sz w:val="20"/>
                <w:szCs w:val="20"/>
              </w:rPr>
              <w:t xml:space="preserve">Modelos más nuevos de Liquid AI</w:t>
            </w:r>
          </w:p>
        </w:tc>
        <w:tc>
          <w:tcPr>
            <w:tcW w:type="dxa" w:w="656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Cuando Liquid AI lance nuevas versiones de LFM2 con mejor rendimiento o menor costo, el sistema puede actualizarse cambiando un parámetro de configuración. No requiere rediseño.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color w:val="1B4F8A"/>
                <w:sz w:val="20"/>
                <w:szCs w:val="20"/>
              </w:rPr>
              <w:t xml:space="preserve">Expansión de la base de conocimiento</w:t>
            </w:r>
          </w:p>
        </w:tc>
        <w:tc>
          <w:tcPr>
            <w:tcW w:type="dxa" w:w="656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Actualmente el sistema responde preguntas de devoluciones, pagos y disponibilidad. Puede extenderse a cualquier nueva política o contenido de ayuda simplemente añadiendo documentos al KB, sin código nuevo.</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color w:val="1B4F8A"/>
                <w:sz w:val="20"/>
                <w:szCs w:val="20"/>
              </w:rPr>
              <w:t xml:space="preserve">Retroalimentación de conversiones</w:t>
            </w:r>
          </w:p>
        </w:tc>
        <w:tc>
          <w:tcPr>
            <w:tcW w:type="dxa" w:w="656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Integrar el tracking de pedidos para identificar qué recomendaciones derivaron en compra y usar esa señal para mejorar el ranking automáticamente.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color w:val="1B4F8A"/>
                <w:sz w:val="20"/>
                <w:szCs w:val="20"/>
              </w:rPr>
              <w:t xml:space="preserve">Búsqueda visual</w:t>
            </w:r>
          </w:p>
        </w:tc>
        <w:tc>
          <w:tcPr>
            <w:tcW w:type="dxa" w:w="656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El servicio de embeddings (Fase C) puede extenderse para aceptar imágenes como entrada. Un cliente podría subir una foto de un outfit y pedir productos similares.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3E0" w:sz="1"/>
              <w:left w:val="single" w:color="C5D3E0" w:sz="1"/>
              <w:bottom w:val="single" w:color="C5D3E0" w:sz="1"/>
              <w:right w:val="single" w:color="C5D3E0" w:sz="1"/>
            </w:tcBorders>
            <w:shd w:fill="EBF3FB" w:val="clear"/>
            <w:tcMar>
              <w:top w:type="dxa" w:w="100"/>
              <w:left w:type="dxa" w:w="140"/>
              <w:bottom w:type="dxa" w:w="100"/>
              <w:right w:type="dxa" w:w="140"/>
            </w:tcMar>
          </w:tcPr>
          <w:p>
            <w:r>
              <w:rPr>
                <w:rFonts w:ascii="Arial" w:cs="Arial" w:eastAsia="Arial" w:hAnsi="Arial"/>
                <w:b/>
                <w:bCs/>
                <w:color w:val="1B4F8A"/>
                <w:sz w:val="20"/>
                <w:szCs w:val="20"/>
              </w:rPr>
              <w:t xml:space="preserve">Nuevos mercados</w:t>
            </w:r>
          </w:p>
        </w:tc>
        <w:tc>
          <w:tcPr>
            <w:tcW w:type="dxa" w:w="6560"/>
            <w:tcBorders>
              <w:top w:val="single" w:color="C5D3E0" w:sz="1"/>
              <w:left w:val="single" w:color="C5D3E0" w:sz="1"/>
              <w:bottom w:val="single" w:color="C5D3E0" w:sz="1"/>
              <w:right w:val="single" w:color="C5D3E0" w:sz="1"/>
            </w:tcBorders>
            <w:tcMar>
              <w:top w:type="dxa" w:w="100"/>
              <w:left w:type="dxa" w:w="140"/>
              <w:bottom w:type="dxa" w:w="100"/>
              <w:right w:type="dxa" w:w="140"/>
            </w:tcMar>
          </w:tcPr>
          <w:p>
            <w:r>
              <w:rPr>
                <w:rFonts w:ascii="Arial" w:cs="Arial" w:eastAsia="Arial" w:hAnsi="Arial"/>
                <w:sz w:val="20"/>
                <w:szCs w:val="20"/>
              </w:rPr>
              <w:t xml:space="preserve">El sistema ya soporta 4 mercados (CL, CH, MX, ES). Añadir un nuevo mercado requiere solo configurar el tipo de cambio y las reglas de idioma.</w:t>
            </w:r>
          </w:p>
        </w:tc>
      </w:tr>
    </w:tbl>
    <w:p>
      <w:pPr>
        <w:spacing w:after="0" w:before="60"/>
      </w:pPr>
    </w:p>
    <w:p>
      <w:pPr>
        <w:spacing w:after="0" w:before="200"/>
      </w:pPr>
    </w:p>
    <w:p>
      <w:pPr>
        <w:jc w:val="center"/>
      </w:pPr>
      <w:r>
        <w:rPr>
          <w:rFonts w:ascii="Arial" w:cs="Arial" w:eastAsia="Arial" w:hAnsi="Arial"/>
          <w:i/>
          <w:iCs/>
          <w:color w:val="888888"/>
          <w:sz w:val="18"/>
          <w:szCs w:val="18"/>
        </w:rPr>
        <w:t xml:space="preserve">Retail Recommender System v2.1.0 — Integración Liquid AI — Abril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Documento para Stakeholders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8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4F8A"/>
      <w:sz w:val="32"/>
      <w:szCs w:val="32"/>
    </w:rPr>
  </w:style>
  <w:style w:type="paragraph" w:styleId="Heading2">
    <w:name w:val="Heading 2"/>
    <w:basedOn w:val="Normal"/>
    <w:next w:val="Normal"/>
    <w:qFormat/>
    <w:pPr>
      <w:spacing w:after="80" w:before="260"/>
      <w:outlineLvl w:val="1"/>
    </w:pPr>
    <w:rPr>
      <w:rFonts w:ascii="Arial" w:cs="Arial" w:eastAsia="Arial" w:hAnsi="Arial"/>
      <w:b/>
      <w:bCs/>
      <w:color w:val="1B4F8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2026-04-21T01:31:47.846Z</dcterms:created>
  <dcterms:modified xsi:type="dcterms:W3CDTF">2026-04-21T01:31:47.847Z</dcterms:modified>
</cp:coreProperties>
</file>

<file path=docProps/custom.xml><?xml version="1.0" encoding="utf-8"?>
<Properties xmlns="http://schemas.openxmlformats.org/officeDocument/2006/custom-properties" xmlns:vt="http://schemas.openxmlformats.org/officeDocument/2006/docPropsVTypes"/>
</file>