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color w:val="888888"/>
          <w:sz w:val="22"/>
          <w:szCs w:val="22"/>
        </w:rPr>
        <w:t xml:space="preserve">Retail Recommender System v2.1.0</w:t>
      </w:r>
    </w:p>
    <w:p>
      <w:pPr>
        <w:spacing w:after="80"/>
      </w:pPr>
      <w:r>
        <w:rPr>
          <w:rFonts w:ascii="Arial" w:cs="Arial" w:eastAsia="Arial" w:hAnsi="Arial"/>
          <w:b/>
          <w:bCs/>
          <w:color w:val="1B3A6B"/>
          <w:sz w:val="52"/>
          <w:szCs w:val="52"/>
        </w:rPr>
        <w:t xml:space="preserve">Analisis de Costos Cloud y</w:t>
      </w:r>
    </w:p>
    <w:p>
      <w:pPr>
        <w:spacing w:after="300"/>
      </w:pPr>
      <w:r>
        <w:rPr>
          <w:rFonts w:ascii="Arial" w:cs="Arial" w:eastAsia="Arial" w:hAnsi="Arial"/>
          <w:b/>
          <w:bCs/>
          <w:color w:val="2E6EAD"/>
          <w:sz w:val="52"/>
          <w:szCs w:val="52"/>
        </w:rPr>
        <w:t xml:space="preserve">Plan de Optimizacion GCP</w:t>
      </w:r>
    </w:p>
    <w:p>
      <w:pPr>
        <w:pBdr>
          <w:bottom w:val="single" w:color="2E6EAD" w:sz="4" w:space="1"/>
        </w:pBdr>
        <w:spacing w:after="160"/>
      </w:pPr>
      <w:r>
        <w:t xml:space="preserve"/>
      </w:r>
    </w:p>
    <w:p>
      <w:pPr>
        <w:spacing w:after="80"/>
      </w:pPr>
      <w:r>
        <w:rPr>
          <w:rFonts w:ascii="Arial" w:cs="Arial" w:eastAsia="Arial" w:hAnsi="Arial"/>
          <w:b/>
          <w:bCs/>
          <w:sz w:val="22"/>
          <w:szCs w:val="22"/>
        </w:rPr>
        <w:t xml:space="preserve">Proyecto: </w:t>
      </w:r>
      <w:r>
        <w:rPr>
          <w:rFonts w:ascii="Arial" w:cs="Arial" w:eastAsia="Arial" w:hAnsi="Arial"/>
          <w:sz w:val="22"/>
          <w:szCs w:val="22"/>
        </w:rPr>
        <w:t xml:space="preserve">retail-recommendations-449216</w:t>
      </w:r>
    </w:p>
    <w:p>
      <w:pPr>
        <w:spacing w:after="80"/>
      </w:pPr>
      <w:r>
        <w:rPr>
          <w:rFonts w:ascii="Arial" w:cs="Arial" w:eastAsia="Arial" w:hAnsi="Arial"/>
          <w:b/>
          <w:bCs/>
          <w:sz w:val="22"/>
          <w:szCs w:val="22"/>
        </w:rPr>
        <w:t xml:space="preserve">Periodo analizado: </w:t>
      </w:r>
      <w:r>
        <w:rPr>
          <w:rFonts w:ascii="Arial" w:cs="Arial" w:eastAsia="Arial" w:hAnsi="Arial"/>
          <w:sz w:val="22"/>
          <w:szCs w:val="22"/>
        </w:rPr>
        <w:t xml:space="preserve">Abril-Mayo 2026</w:t>
      </w:r>
    </w:p>
    <w:p>
      <w:pPr>
        <w:spacing w:after="80"/>
      </w:pPr>
      <w:r>
        <w:rPr>
          <w:rFonts w:ascii="Arial" w:cs="Arial" w:eastAsia="Arial" w:hAnsi="Arial"/>
          <w:b/>
          <w:bCs/>
          <w:sz w:val="22"/>
          <w:szCs w:val="22"/>
        </w:rPr>
        <w:t xml:space="preserve">Fecha del informe: </w:t>
      </w:r>
      <w:r>
        <w:rPr>
          <w:rFonts w:ascii="Arial" w:cs="Arial" w:eastAsia="Arial" w:hAnsi="Arial"/>
          <w:sz w:val="22"/>
          <w:szCs w:val="22"/>
        </w:rPr>
        <w:t xml:space="preserve">02 de junio de 2026</w:t>
      </w:r>
    </w:p>
    <w:p>
      <w:pPr>
        <w:spacing w:after="400"/>
      </w:pPr>
      <w:r>
        <w:rPr>
          <w:rFonts w:ascii="Arial" w:cs="Arial" w:eastAsia="Arial" w:hAnsi="Arial"/>
          <w:b/>
          <w:bCs/>
          <w:sz w:val="22"/>
          <w:szCs w:val="22"/>
        </w:rPr>
        <w:t xml:space="preserve">Region: </w:t>
      </w:r>
      <w:r>
        <w:rPr>
          <w:rFonts w:ascii="Arial" w:cs="Arial" w:eastAsia="Arial" w:hAnsi="Arial"/>
          <w:sz w:val="22"/>
          <w:szCs w:val="22"/>
        </w:rPr>
        <w:t xml:space="preserve">us-central1 (Cloud Run)</w:t>
      </w:r>
    </w:p>
    <w:p>
      <w:pPr>
        <w:pStyle w:val="Heading1"/>
        <w:spacing w:after="120" w:before="360"/>
      </w:pPr>
      <w:r>
        <w:rPr>
          <w:rFonts w:ascii="Arial" w:cs="Arial" w:eastAsia="Arial" w:hAnsi="Arial"/>
          <w:b/>
          <w:bCs/>
          <w:color w:val="1B3A6B"/>
          <w:sz w:val="36"/>
          <w:szCs w:val="36"/>
        </w:rPr>
        <w:t xml:space="preserve">1. Resumen Ejecutivo</w:t>
      </w:r>
    </w:p>
    <w:p>
      <w:pPr>
        <w:spacing w:after="160"/>
      </w:pPr>
      <w:r>
        <w:rPr>
          <w:rFonts w:ascii="Arial" w:cs="Arial" w:eastAsia="Arial" w:hAnsi="Arial"/>
          <w:sz w:val="22"/>
          <w:szCs w:val="22"/>
        </w:rPr>
        <w:t xml:space="preserve">La factura de Google Cloud Platform escalo de </w:t>
      </w:r>
      <w:r>
        <w:rPr>
          <w:rFonts w:ascii="Arial" w:cs="Arial" w:eastAsia="Arial" w:hAnsi="Arial"/>
          <w:b/>
          <w:bCs/>
          <w:sz w:val="22"/>
          <w:szCs w:val="22"/>
        </w:rPr>
        <w:t xml:space="preserve">CHF 26.60 en abril</w:t>
      </w:r>
      <w:r>
        <w:rPr>
          <w:rFonts w:ascii="Arial" w:cs="Arial" w:eastAsia="Arial" w:hAnsi="Arial"/>
          <w:sz w:val="22"/>
          <w:szCs w:val="22"/>
        </w:rPr>
        <w:t xml:space="preserve"> a </w:t>
      </w:r>
      <w:r>
        <w:rPr>
          <w:rFonts w:ascii="Arial" w:cs="Arial" w:eastAsia="Arial" w:hAnsi="Arial"/>
          <w:b/>
          <w:bCs/>
          <w:sz w:val="22"/>
          <w:szCs w:val="22"/>
        </w:rPr>
        <w:t xml:space="preserve">CHF 120.92 en mayo de 2026</w:t>
      </w:r>
      <w:r>
        <w:rPr>
          <w:rFonts w:ascii="Arial" w:cs="Arial" w:eastAsia="Arial" w:hAnsi="Arial"/>
          <w:sz w:val="22"/>
          <w:szCs w:val="22"/>
        </w:rPr>
        <w:t xml:space="preserve">, un incremento del </w:t>
      </w:r>
      <w:r>
        <w:rPr>
          <w:rFonts w:ascii="Arial" w:cs="Arial" w:eastAsia="Arial" w:hAnsi="Arial"/>
          <w:b/>
          <w:bCs/>
          <w:sz w:val="22"/>
          <w:szCs w:val="22"/>
        </w:rPr>
        <w:t xml:space="preserve">+354.59%</w:t>
      </w:r>
      <w:r>
        <w:rPr>
          <w:rFonts w:ascii="Arial" w:cs="Arial" w:eastAsia="Arial" w:hAnsi="Arial"/>
          <w:sz w:val="22"/>
          <w:szCs w:val="22"/>
        </w:rPr>
        <w:t xml:space="preserve">. Este aumento no refleja un crecimiento del trafico ni de la funcionalidad del sistema, sino una unica decision de configuracion: la activacion de </w:t>
      </w:r>
      <w:r>
        <w:rPr>
          <w:rFonts w:ascii="Arial" w:cs="Arial" w:eastAsia="Arial" w:hAnsi="Arial"/>
          <w:b/>
          <w:bCs/>
          <w:sz w:val="22"/>
          <w:szCs w:val="22"/>
        </w:rPr>
        <w:t xml:space="preserve">min-instances=1</w:t>
      </w:r>
      <w:r>
        <w:rPr>
          <w:rFonts w:ascii="Arial" w:cs="Arial" w:eastAsia="Arial" w:hAnsi="Arial"/>
          <w:sz w:val="22"/>
          <w:szCs w:val="22"/>
        </w:rPr>
        <w:t xml:space="preserve"> en el servicio de embedding, que genera facturacion continua 24/7 independientemente del uso real.</w:t>
      </w:r>
    </w:p>
    <w:p>
      <w:pPr>
        <w:pStyle w:val="Heading2"/>
        <w:spacing w:after="80" w:before="280"/>
      </w:pPr>
      <w:r>
        <w:rPr>
          <w:rFonts w:ascii="Arial" w:cs="Arial" w:eastAsia="Arial" w:hAnsi="Arial"/>
          <w:b/>
          <w:bCs/>
          <w:color w:val="2E6EAD"/>
          <w:sz w:val="28"/>
          <w:szCs w:val="28"/>
        </w:rPr>
        <w:t xml:space="preserve">Hallazgos principales</w:t>
      </w:r>
    </w:p>
    <w:p>
      <w:pPr>
        <w:pStyle w:val="ListParagraph"/>
        <w:numPr>
          <w:ilvl w:val="0"/>
          <w:numId w:val="2"/>
        </w:numPr>
        <w:spacing w:after="80"/>
      </w:pPr>
      <w:r>
        <w:rPr>
          <w:rFonts w:ascii="Arial" w:cs="Arial" w:eastAsia="Arial" w:hAnsi="Arial"/>
          <w:b/>
          <w:bCs/>
          <w:sz w:val="22"/>
          <w:szCs w:val="22"/>
        </w:rPr>
        <w:t xml:space="preserve">Causa raiz unica: </w:t>
      </w:r>
      <w:r>
        <w:rPr>
          <w:rFonts w:ascii="Arial" w:cs="Arial" w:eastAsia="Arial" w:hAnsi="Arial"/>
          <w:sz w:val="22"/>
          <w:szCs w:val="22"/>
        </w:rPr>
        <w:t xml:space="preserve">El embedding-service con min-instances=1 genera CHF 84.67/mes (70% de la factura total) aunque el trafico es actualmente 0 req/seg.</w:t>
      </w:r>
    </w:p>
    <w:p>
      <w:pPr>
        <w:pStyle w:val="ListParagraph"/>
        <w:numPr>
          <w:ilvl w:val="0"/>
          <w:numId w:val="2"/>
        </w:numPr>
        <w:spacing w:after="80"/>
      </w:pPr>
      <w:r>
        <w:rPr>
          <w:rFonts w:ascii="Arial" w:cs="Arial" w:eastAsia="Arial" w:hAnsi="Arial"/>
          <w:b/>
          <w:bCs/>
          <w:sz w:val="22"/>
          <w:szCs w:val="22"/>
        </w:rPr>
        <w:t xml:space="preserve">Arquitectura correcta, configuracion incorrecta: </w:t>
      </w:r>
      <w:r>
        <w:rPr>
          <w:rFonts w:ascii="Arial" w:cs="Arial" w:eastAsia="Arial" w:hAnsi="Arial"/>
          <w:sz w:val="22"/>
          <w:szCs w:val="22"/>
        </w:rPr>
        <w:t xml:space="preserve">La separacion del embedding-service del monolito es una decision tecnica justificada. El problema es operar con instancias siempre activas durante la fase de testing.</w:t>
      </w:r>
    </w:p>
    <w:p>
      <w:pPr>
        <w:pStyle w:val="ListParagraph"/>
        <w:numPr>
          <w:ilvl w:val="0"/>
          <w:numId w:val="2"/>
        </w:numPr>
        <w:spacing w:after="80"/>
      </w:pPr>
      <w:r>
        <w:rPr>
          <w:rFonts w:ascii="Arial" w:cs="Arial" w:eastAsia="Arial" w:hAnsi="Arial"/>
          <w:b/>
          <w:bCs/>
          <w:sz w:val="22"/>
          <w:szCs w:val="22"/>
        </w:rPr>
        <w:t xml:space="preserve">Costos secundarios optimizables: </w:t>
      </w:r>
      <w:r>
        <w:rPr>
          <w:rFonts w:ascii="Arial" w:cs="Arial" w:eastAsia="Arial" w:hAnsi="Arial"/>
          <w:sz w:val="22"/>
          <w:szCs w:val="22"/>
        </w:rPr>
        <w:t xml:space="preserve">Artifact Registry (CHF 12.38), Secret Manager (CHF 9.65) y Container Vulnerability Scanning (CHF 9.66) presentan oportunidades de ahorro mediante limpieza.</w:t>
      </w:r>
    </w:p>
    <w:p>
      <w:pPr>
        <w:spacing w:after="80"/>
      </w:pPr>
      <w:r>
        <w:t xml:space="preserve"/>
      </w:r>
    </w:p>
    <w:p>
      <w:pPr>
        <w:pStyle w:val="Heading2"/>
        <w:spacing w:after="80" w:before="280"/>
      </w:pPr>
      <w:r>
        <w:rPr>
          <w:rFonts w:ascii="Arial" w:cs="Arial" w:eastAsia="Arial" w:hAnsi="Arial"/>
          <w:b/>
          <w:bCs/>
          <w:color w:val="2E6EAD"/>
          <w:sz w:val="28"/>
          <w:szCs w:val="28"/>
        </w:rPr>
        <w:t xml:space="preserve">Potencial de ahorro inmediato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800"/>
        <w:gridCol w:w="1960"/>
      </w:tblGrid>
      <w:tr>
        <w:trPr>
          <w:tblHeader/>
        </w:trPr>
        <w:tc>
          <w:tcPr>
            <w:tcW w:type="dxa" w:w="3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Accion</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Ahorro/mes</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Costo anual evitado</w:t>
            </w:r>
          </w:p>
        </w:tc>
        <w:tc>
          <w:tcPr>
            <w:tcW w:type="dxa" w:w="19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Riesgo</w:t>
            </w:r>
          </w:p>
        </w:tc>
      </w:tr>
      <w:tr>
        <w:tc>
          <w:tcPr>
            <w:tcW w:type="dxa" w:w="38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Reducir min-instances=0 (embedding)</w:t>
            </w:r>
          </w:p>
        </w:tc>
        <w:tc>
          <w:tcPr>
            <w:tcW w:type="dxa" w:w="18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CHF 51</w:t>
            </w:r>
          </w:p>
        </w:tc>
        <w:tc>
          <w:tcPr>
            <w:tcW w:type="dxa" w:w="18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CHF 612</w:t>
            </w:r>
          </w:p>
        </w:tc>
        <w:tc>
          <w:tcPr>
            <w:tcW w:type="dxa" w:w="196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Bajo</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Right-size: 2 vCPU -&gt; 1 vCPU</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CHF 34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CHF 408</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Bajo</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Limpieza Artifact Registry</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CHF 6-8</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CHF 84</w:t>
            </w:r>
          </w:p>
        </w:tc>
        <w:tc>
          <w:tcPr>
            <w:tcW w:type="dxa" w:w="1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Cero</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Auditoria Secret Manager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CHF 3-5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CHF 48</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Cero</w:t>
            </w:r>
          </w:p>
        </w:tc>
      </w:tr>
      <w:tr>
        <w:tc>
          <w:tcPr>
            <w:tcW w:type="dxa" w:w="3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TOTAL POTENCIAL</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CHF 94-98</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CHF 1.152</w:t>
            </w:r>
          </w:p>
        </w:tc>
        <w:tc>
          <w:tcPr>
            <w:tcW w:type="dxa" w:w="19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w:t>
            </w:r>
          </w:p>
        </w:tc>
      </w:tr>
    </w:tbl>
    <w:p>
      <w:pPr>
        <w:spacing w:after="80"/>
      </w:pPr>
      <w:r>
        <w:t xml:space="preserve"/>
      </w:r>
    </w:p>
    <w:p>
      <w:pPr>
        <w:spacing w:after="120"/>
      </w:pPr>
      <w:r>
        <w:rPr>
          <w:rFonts w:ascii="Arial" w:cs="Arial" w:eastAsia="Arial" w:hAnsi="Arial"/>
          <w:b/>
          <w:bCs/>
          <w:color w:val="555555"/>
          <w:sz w:val="20"/>
          <w:szCs w:val="20"/>
        </w:rPr>
        <w:t xml:space="preserve">Proyeccion: </w:t>
      </w:r>
      <w:r>
        <w:rPr>
          <w:rFonts w:ascii="Arial" w:cs="Arial" w:eastAsia="Arial" w:hAnsi="Arial"/>
          <w:i/>
          <w:iCs/>
          <w:color w:val="555555"/>
          <w:sz w:val="20"/>
          <w:szCs w:val="20"/>
        </w:rPr>
        <w:t xml:space="preserve">Aplicando las acciones inmediatas, el costo mensual pasa de CHF 120.92 a aproximadamente CHF 25-30/mes durante la fase pre-lanzamiento.</w:t>
      </w:r>
    </w:p>
    <w:p>
      <w:pPr>
        <w:spacing w:after="0"/>
      </w:pPr>
      <w:r>
        <w:br w:type="page"/>
      </w:r>
    </w:p>
    <w:p>
      <w:pPr>
        <w:pStyle w:val="Heading1"/>
        <w:spacing w:after="120" w:before="360"/>
      </w:pPr>
      <w:r>
        <w:rPr>
          <w:rFonts w:ascii="Arial" w:cs="Arial" w:eastAsia="Arial" w:hAnsi="Arial"/>
          <w:b/>
          <w:bCs/>
          <w:color w:val="1B3A6B"/>
          <w:sz w:val="36"/>
          <w:szCs w:val="36"/>
        </w:rPr>
        <w:t xml:space="preserve">2. Analisis Detallado de Costos</w:t>
      </w:r>
    </w:p>
    <w:p>
      <w:pPr>
        <w:pStyle w:val="Heading2"/>
        <w:spacing w:after="80" w:before="280"/>
      </w:pPr>
      <w:r>
        <w:rPr>
          <w:rFonts w:ascii="Arial" w:cs="Arial" w:eastAsia="Arial" w:hAnsi="Arial"/>
          <w:b/>
          <w:bCs/>
          <w:color w:val="2E6EAD"/>
          <w:sz w:val="28"/>
          <w:szCs w:val="28"/>
        </w:rPr>
        <w:t xml:space="preserve">2.1 Distribucion de costos — Mayo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280"/>
        <w:gridCol w:w="1280"/>
        <w:gridCol w:w="200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Servicio GCP</w:t>
            </w:r>
          </w:p>
        </w:tc>
        <w:tc>
          <w:tcPr>
            <w:tcW w:type="dxa" w:w="1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Costo (CHF)</w:t>
            </w:r>
          </w:p>
        </w:tc>
        <w:tc>
          <w:tcPr>
            <w:tcW w:type="dxa" w:w="12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 total</w:t>
            </w:r>
          </w:p>
        </w:tc>
        <w:tc>
          <w:tcPr>
            <w:tcW w:type="dxa" w:w="12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vs. Abril</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Causa principal</w:t>
            </w:r>
          </w:p>
        </w:tc>
      </w:tr>
      <w:tr>
        <w:tc>
          <w:tcPr>
            <w:tcW w:type="dxa" w:w="32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Cloud Run (embedding-service)</w:t>
            </w:r>
          </w:p>
        </w:tc>
        <w:tc>
          <w:tcPr>
            <w:tcW w:type="dxa" w:w="16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84.67</w:t>
            </w:r>
          </w:p>
        </w:tc>
        <w:tc>
          <w:tcPr>
            <w:tcW w:type="dxa" w:w="12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70.0%</w:t>
            </w:r>
          </w:p>
        </w:tc>
        <w:tc>
          <w:tcPr>
            <w:tcW w:type="dxa" w:w="12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+1.090%</w:t>
            </w:r>
          </w:p>
        </w:tc>
        <w:tc>
          <w:tcPr>
            <w:tcW w:type="dxa" w:w="20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min-instances=1 (always-on)</w:t>
            </w:r>
          </w:p>
        </w:tc>
      </w:tr>
      <w:tr>
        <w:tc>
          <w:tcPr>
            <w:tcW w:type="dxa" w:w="32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Cloud Run (retail-recommender)</w:t>
            </w:r>
          </w:p>
        </w:tc>
        <w:tc>
          <w:tcPr>
            <w:tcW w:type="dxa" w:w="16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2.61</w:t>
            </w:r>
          </w:p>
        </w:tc>
        <w:tc>
          <w:tcPr>
            <w:tcW w:type="dxa" w:w="12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2.2%</w:t>
            </w:r>
          </w:p>
        </w:tc>
        <w:tc>
          <w:tcPr>
            <w:tcW w:type="dxa" w:w="12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stable</w:t>
            </w:r>
          </w:p>
        </w:tc>
        <w:tc>
          <w:tcPr>
            <w:tcW w:type="dxa" w:w="2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min-instances=0 (correcto)</w:t>
            </w:r>
          </w:p>
        </w:tc>
      </w:tr>
      <w:tr>
        <w:tc>
          <w:tcPr>
            <w:tcW w:type="dxa" w:w="32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Artifact Registry</w:t>
            </w:r>
          </w:p>
        </w:tc>
        <w:tc>
          <w:tcPr>
            <w:tcW w:type="dxa" w:w="1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12.38</w:t>
            </w:r>
          </w:p>
        </w:tc>
        <w:tc>
          <w:tcPr>
            <w:tcW w:type="dxa" w:w="128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10.2%</w:t>
            </w:r>
          </w:p>
        </w:tc>
        <w:tc>
          <w:tcPr>
            <w:tcW w:type="dxa" w:w="128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+154%</w:t>
            </w:r>
          </w:p>
        </w:tc>
        <w:tc>
          <w:tcPr>
            <w:tcW w:type="dxa" w:w="20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Acumulacion de imagenes Docker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Container Vuln. Scanning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9.66</w:t>
            </w:r>
          </w:p>
        </w:tc>
        <w:tc>
          <w:tcPr>
            <w:tcW w:type="dxa" w:w="1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8.0%</w:t>
            </w:r>
          </w:p>
        </w:tc>
        <w:tc>
          <w:tcPr>
            <w:tcW w:type="dxa" w:w="1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-18%</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Escaneo de todas las imagenes</w:t>
            </w:r>
          </w:p>
        </w:tc>
      </w:tr>
      <w:tr>
        <w:tc>
          <w:tcPr>
            <w:tcW w:type="dxa" w:w="32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Secret Manager</w:t>
            </w:r>
          </w:p>
        </w:tc>
        <w:tc>
          <w:tcPr>
            <w:tcW w:type="dxa" w:w="1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9.65</w:t>
            </w:r>
          </w:p>
        </w:tc>
        <w:tc>
          <w:tcPr>
            <w:tcW w:type="dxa" w:w="128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8.0%</w:t>
            </w:r>
          </w:p>
        </w:tc>
        <w:tc>
          <w:tcPr>
            <w:tcW w:type="dxa" w:w="128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+71%</w:t>
            </w:r>
          </w:p>
        </w:tc>
        <w:tc>
          <w:tcPr>
            <w:tcW w:type="dxa" w:w="20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Versiones sin limpiar + accesos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Cloud Storage + otros</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0.06</w:t>
            </w:r>
          </w:p>
        </w:tc>
        <w:tc>
          <w:tcPr>
            <w:tcW w:type="dxa" w:w="1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0.05%</w:t>
            </w:r>
          </w:p>
        </w:tc>
        <w:tc>
          <w:tcPr>
            <w:tcW w:type="dxa" w:w="1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stable</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w:t>
            </w:r>
          </w:p>
        </w:tc>
      </w:tr>
      <w:tr>
        <w:tc>
          <w:tcPr>
            <w:tcW w:type="dxa" w:w="3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TOTAL (antes de tax)</w:t>
            </w:r>
          </w:p>
        </w:tc>
        <w:tc>
          <w:tcPr>
            <w:tcW w:type="dxa" w:w="1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111.86</w:t>
            </w:r>
          </w:p>
        </w:tc>
        <w:tc>
          <w:tcPr>
            <w:tcW w:type="dxa" w:w="12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100%</w:t>
            </w:r>
          </w:p>
        </w:tc>
        <w:tc>
          <w:tcPr>
            <w:tcW w:type="dxa" w:w="12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+354.59%</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w:t>
            </w:r>
          </w:p>
        </w:tc>
      </w:tr>
    </w:tbl>
    <w:p>
      <w:pPr>
        <w:spacing w:after="80"/>
      </w:pPr>
      <w:r>
        <w:t xml:space="preserve"/>
      </w:r>
    </w:p>
    <w:p>
      <w:pPr>
        <w:pStyle w:val="Heading2"/>
        <w:spacing w:after="80" w:before="280"/>
      </w:pPr>
      <w:r>
        <w:rPr>
          <w:rFonts w:ascii="Arial" w:cs="Arial" w:eastAsia="Arial" w:hAnsi="Arial"/>
          <w:b/>
          <w:bCs/>
          <w:color w:val="2E6EAD"/>
          <w:sz w:val="28"/>
          <w:szCs w:val="28"/>
        </w:rPr>
        <w:t xml:space="preserve">2.2 Causa raiz: el embedding-service</w:t>
      </w:r>
    </w:p>
    <w:p>
      <w:pPr>
        <w:spacing w:after="100"/>
      </w:pPr>
      <w:r>
        <w:rPr>
          <w:rFonts w:ascii="Arial" w:cs="Arial" w:eastAsia="Arial" w:hAnsi="Arial"/>
          <w:sz w:val="22"/>
          <w:szCs w:val="22"/>
        </w:rPr>
        <w:t xml:space="preserve">El embedding-service aloja tres componentes ML que justifican el dimensionamiento de recursos:</w:t>
      </w:r>
    </w:p>
    <w:p>
      <w:pPr>
        <w:pStyle w:val="ListParagraph"/>
        <w:numPr>
          <w:ilvl w:val="0"/>
          <w:numId w:val="2"/>
        </w:numPr>
        <w:spacing w:after="80"/>
      </w:pPr>
      <w:r>
        <w:rPr>
          <w:rFonts w:ascii="Arial" w:cs="Arial" w:eastAsia="Arial" w:hAnsi="Arial"/>
          <w:sz w:val="22"/>
          <w:szCs w:val="22"/>
        </w:rPr>
        <w:t xml:space="preserve">FashionSigLIP (modelo ViT-based de vision para moda): ~1.2-1.5 GB en memoria</w:t>
      </w:r>
    </w:p>
    <w:p>
      <w:pPr>
        <w:pStyle w:val="ListParagraph"/>
        <w:numPr>
          <w:ilvl w:val="0"/>
          <w:numId w:val="2"/>
        </w:numPr>
        <w:spacing w:after="80"/>
      </w:pPr>
      <w:r>
        <w:rPr>
          <w:rFonts w:ascii="Arial" w:cs="Arial" w:eastAsia="Arial" w:hAnsi="Arial"/>
          <w:sz w:val="22"/>
          <w:szCs w:val="22"/>
        </w:rPr>
        <w:t xml:space="preserve">paraphrase-multilingual-MiniLM-L6-v2 via ONNX Runtime: ~350-500 MB en memoria</w:t>
      </w:r>
    </w:p>
    <w:p>
      <w:pPr>
        <w:pStyle w:val="ListParagraph"/>
        <w:numPr>
          <w:ilvl w:val="0"/>
          <w:numId w:val="2"/>
        </w:numPr>
        <w:spacing w:after="80"/>
      </w:pPr>
      <w:r>
        <w:rPr>
          <w:rFonts w:ascii="Arial" w:cs="Arial" w:eastAsia="Arial" w:hAnsi="Arial"/>
          <w:sz w:val="22"/>
          <w:szCs w:val="22"/>
        </w:rPr>
        <w:t xml:space="preserve">Indice FAISS (3.055 productos x 768 dimensiones x float32): ~9 MB</w:t>
      </w:r>
    </w:p>
    <w:p>
      <w:pPr>
        <w:spacing w:after="80"/>
      </w:pPr>
      <w:r>
        <w:t xml:space="preserve"/>
      </w:r>
    </w:p>
    <w:p>
      <w:pPr>
        <w:spacing w:after="100"/>
      </w:pPr>
      <w:r>
        <w:rPr>
          <w:rFonts w:ascii="Arial" w:cs="Arial" w:eastAsia="Arial" w:hAnsi="Arial"/>
          <w:sz w:val="22"/>
          <w:szCs w:val="22"/>
        </w:rPr>
        <w:t xml:space="preserve">Con ambos modelos co-residentes, el pico de memoria en startup supera los 3 GB, lo que hace que la configuracion de 4 GiB RAM sea tecnicamente justificada (no es sobreaprovisionamiento de memoria). La oportunidad de right-sizing existe en la dimension de CPU.</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1560"/>
        <w:gridCol w:w="160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Parametro</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Config. actual</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Config. propuesta</w:t>
            </w:r>
          </w:p>
        </w:tc>
        <w:tc>
          <w:tcPr>
            <w:tcW w:type="dxa" w:w="1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Ahorro/mes</w:t>
            </w:r>
          </w:p>
        </w:tc>
        <w:tc>
          <w:tcPr>
            <w:tcW w:type="dxa" w:w="1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Justificacion</w:t>
            </w:r>
          </w:p>
        </w:tc>
      </w:tr>
      <w:tr>
        <w:tc>
          <w:tcPr>
            <w:tcW w:type="dxa" w:w="2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vCPU</w:t>
            </w:r>
          </w:p>
        </w:tc>
        <w:tc>
          <w:tcPr>
            <w:tcW w:type="dxa" w:w="20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2 vCPU</w:t>
            </w:r>
          </w:p>
        </w:tc>
        <w:tc>
          <w:tcPr>
            <w:tcW w:type="dxa" w:w="18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1 vCPU</w:t>
            </w:r>
          </w:p>
        </w:tc>
        <w:tc>
          <w:tcPr>
            <w:tcW w:type="dxa" w:w="156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~CHF 34</w:t>
            </w:r>
          </w:p>
        </w:tc>
        <w:tc>
          <w:tcPr>
            <w:tcW w:type="dxa" w:w="1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0 req/seg actual; inference secuencial</w:t>
            </w:r>
          </w:p>
        </w:tc>
      </w:tr>
      <w:tr>
        <w:tc>
          <w:tcPr>
            <w:tcW w:type="dxa" w:w="24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Memoria RAM</w:t>
            </w:r>
          </w:p>
        </w:tc>
        <w:tc>
          <w:tcPr>
            <w:tcW w:type="dxa" w:w="2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4 GiB</w:t>
            </w:r>
          </w:p>
        </w:tc>
        <w:tc>
          <w:tcPr>
            <w:tcW w:type="dxa" w:w="18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Mantener 4 GiB</w:t>
            </w:r>
          </w:p>
        </w:tc>
        <w:tc>
          <w:tcPr>
            <w:tcW w:type="dxa" w:w="15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CHF 0</w:t>
            </w:r>
          </w:p>
        </w:tc>
        <w:tc>
          <w:tcPr>
            <w:tcW w:type="dxa" w:w="16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Justificado: FashionSigLIP + MiniLM</w:t>
            </w:r>
          </w:p>
        </w:tc>
      </w:tr>
      <w:tr>
        <w:tc>
          <w:tcPr>
            <w:tcW w:type="dxa" w:w="2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min-instances</w:t>
            </w:r>
          </w:p>
        </w:tc>
        <w:tc>
          <w:tcPr>
            <w:tcW w:type="dxa" w:w="20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1 (always-on)</w:t>
            </w:r>
          </w:p>
        </w:tc>
        <w:tc>
          <w:tcPr>
            <w:tcW w:type="dxa" w:w="18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0 (scale-to-zero)</w:t>
            </w:r>
          </w:p>
        </w:tc>
        <w:tc>
          <w:tcPr>
            <w:tcW w:type="dxa" w:w="156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~CHF 51</w:t>
            </w:r>
          </w:p>
        </w:tc>
        <w:tc>
          <w:tcPr>
            <w:tcW w:type="dxa" w:w="1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Warm-up overlay ya implementado</w:t>
            </w:r>
          </w:p>
        </w:tc>
      </w:tr>
    </w:tbl>
    <w:p>
      <w:pPr>
        <w:spacing w:after="80"/>
      </w:pPr>
      <w:r>
        <w:t xml:space="preserve"/>
      </w:r>
    </w:p>
    <w:p>
      <w:pPr>
        <w:pBdr>
          <w:left w:val="single" w:color="2E6EAD" w:sz="12" w:space="8"/>
        </w:pBdr>
        <w:spacing w:after="160"/>
      </w:pPr>
      <w:r>
        <w:rPr>
          <w:rFonts w:ascii="Arial" w:cs="Arial" w:eastAsia="Arial" w:hAnsi="Arial"/>
          <w:b/>
          <w:bCs/>
          <w:color w:val="2E6EAD"/>
          <w:sz w:val="20"/>
          <w:szCs w:val="20"/>
        </w:rPr>
        <w:t xml:space="preserve">Nota importante: </w:t>
      </w:r>
      <w:r>
        <w:rPr>
          <w:rFonts w:ascii="Arial" w:cs="Arial" w:eastAsia="Arial" w:hAnsi="Arial"/>
          <w:i/>
          <w:iCs/>
          <w:color w:val="555555"/>
          <w:sz w:val="20"/>
          <w:szCs w:val="20"/>
        </w:rPr>
        <w:t xml:space="preserve">La reduccion de 2 a 1 vCPU aumentara levemente el tiempo de cold-start (de ~13s a ~15-18s). Esto es aceptable dado que el ChatWidget ya implementa el overlay de 'calentando el sistema' para gestionar este escenario ante el usuario.</w:t>
      </w:r>
    </w:p>
    <w:p>
      <w:pPr>
        <w:spacing w:after="0"/>
      </w:pPr>
      <w:r>
        <w:br w:type="page"/>
      </w:r>
    </w:p>
    <w:p>
      <w:pPr>
        <w:pStyle w:val="Heading1"/>
        <w:spacing w:after="120" w:before="360"/>
      </w:pPr>
      <w:r>
        <w:rPr>
          <w:rFonts w:ascii="Arial" w:cs="Arial" w:eastAsia="Arial" w:hAnsi="Arial"/>
          <w:b/>
          <w:bCs/>
          <w:color w:val="1B3A6B"/>
          <w:sz w:val="36"/>
          <w:szCs w:val="36"/>
        </w:rPr>
        <w:t xml:space="preserve">3. Plan de Optimizacion</w:t>
      </w:r>
    </w:p>
    <w:p>
      <w:pPr>
        <w:pStyle w:val="Heading2"/>
        <w:spacing w:after="80" w:before="280"/>
      </w:pPr>
      <w:r>
        <w:rPr>
          <w:rFonts w:ascii="Arial" w:cs="Arial" w:eastAsia="Arial" w:hAnsi="Arial"/>
          <w:b/>
          <w:bCs/>
          <w:color w:val="2E6EAD"/>
          <w:sz w:val="28"/>
          <w:szCs w:val="28"/>
        </w:rPr>
        <w:t xml:space="preserve">3.1 Acciones inmediatas (esta semana)</w:t>
      </w:r>
    </w:p>
    <w:p>
      <w:pPr>
        <w:pStyle w:val="Heading3"/>
        <w:spacing w:after="60" w:before="200"/>
      </w:pPr>
      <w:r>
        <w:rPr>
          <w:rFonts w:ascii="Arial" w:cs="Arial" w:eastAsia="Arial" w:hAnsi="Arial"/>
          <w:b/>
          <w:bCs/>
          <w:color w:val="1B3A6B"/>
          <w:sz w:val="24"/>
          <w:szCs w:val="24"/>
        </w:rPr>
        <w:t xml:space="preserve">Accion 1 — Right-size y scale-to-zero del embedding-service</w:t>
      </w:r>
    </w:p>
    <w:p>
      <w:pPr>
        <w:spacing w:after="100"/>
      </w:pPr>
      <w:r>
        <w:rPr>
          <w:rFonts w:ascii="Arial" w:cs="Arial" w:eastAsia="Arial" w:hAnsi="Arial"/>
          <w:sz w:val="22"/>
          <w:szCs w:val="22"/>
        </w:rPr>
        <w:t xml:space="preserve">Impacto estimado: CHF 85/mes  |  Esfuerzo: 5 minutos  |  Riesgo: Bajo</w:t>
      </w:r>
    </w:p>
    <w:p>
      <w:pPr>
        <w:shd w:fill="F0F0F0" w:val="clear"/>
        <w:spacing w:after="0"/>
      </w:pPr>
      <w:r>
        <w:rPr>
          <w:rFonts w:ascii="Courier New" w:cs="Courier New" w:eastAsia="Courier New" w:hAnsi="Courier New"/>
          <w:color w:val="1A1A1A"/>
          <w:sz w:val="20"/>
          <w:szCs w:val="20"/>
        </w:rPr>
        <w:t xml:space="preserve">gcloud run services update retail-embedding-service \</w:t>
      </w:r>
    </w:p>
    <w:p>
      <w:pPr>
        <w:shd w:fill="F0F0F0" w:val="clear"/>
        <w:spacing w:after="0"/>
      </w:pPr>
      <w:r>
        <w:rPr>
          <w:rFonts w:ascii="Courier New" w:cs="Courier New" w:eastAsia="Courier New" w:hAnsi="Courier New"/>
          <w:color w:val="1A1A1A"/>
          <w:sz w:val="20"/>
          <w:szCs w:val="20"/>
        </w:rPr>
        <w:t xml:space="preserve">  --cpu=1 \</w:t>
      </w:r>
    </w:p>
    <w:p>
      <w:pPr>
        <w:shd w:fill="F0F0F0" w:val="clear"/>
        <w:spacing w:after="0"/>
      </w:pPr>
      <w:r>
        <w:rPr>
          <w:rFonts w:ascii="Courier New" w:cs="Courier New" w:eastAsia="Courier New" w:hAnsi="Courier New"/>
          <w:color w:val="1A1A1A"/>
          <w:sz w:val="20"/>
          <w:szCs w:val="20"/>
        </w:rPr>
        <w:t xml:space="preserve">  --memory=4Gi \</w:t>
      </w:r>
    </w:p>
    <w:p>
      <w:pPr>
        <w:shd w:fill="F0F0F0" w:val="clear"/>
        <w:spacing w:after="0"/>
      </w:pPr>
      <w:r>
        <w:rPr>
          <w:rFonts w:ascii="Courier New" w:cs="Courier New" w:eastAsia="Courier New" w:hAnsi="Courier New"/>
          <w:color w:val="1A1A1A"/>
          <w:sz w:val="20"/>
          <w:szCs w:val="20"/>
        </w:rPr>
        <w:t xml:space="preserve">  --min-instances=0 \</w:t>
      </w:r>
    </w:p>
    <w:p>
      <w:pPr>
        <w:shd w:fill="F0F0F0" w:val="clear"/>
        <w:spacing w:after="0"/>
      </w:pPr>
      <w:r>
        <w:rPr>
          <w:rFonts w:ascii="Courier New" w:cs="Courier New" w:eastAsia="Courier New" w:hAnsi="Courier New"/>
          <w:color w:val="1A1A1A"/>
          <w:sz w:val="20"/>
          <w:szCs w:val="20"/>
        </w:rPr>
        <w:t xml:space="preserve">  --region=us-central1 \</w:t>
      </w:r>
    </w:p>
    <w:p>
      <w:pPr>
        <w:shd w:fill="F0F0F0" w:val="clear"/>
        <w:spacing w:after="160"/>
      </w:pPr>
      <w:r>
        <w:rPr>
          <w:rFonts w:ascii="Courier New" w:cs="Courier New" w:eastAsia="Courier New" w:hAnsi="Courier New"/>
          <w:color w:val="1A1A1A"/>
          <w:sz w:val="20"/>
          <w:szCs w:val="20"/>
        </w:rPr>
        <w:t xml:space="preserve">  --project=retail-recommendations-449216</w:t>
      </w:r>
    </w:p>
    <w:p>
      <w:pPr>
        <w:spacing w:after="100"/>
      </w:pPr>
      <w:r>
        <w:rPr>
          <w:rFonts w:ascii="Arial" w:cs="Arial" w:eastAsia="Arial" w:hAnsi="Arial"/>
          <w:sz w:val="22"/>
          <w:szCs w:val="22"/>
        </w:rPr>
        <w:t xml:space="preserve">Que monitorear despues del cambio:</w:t>
      </w:r>
    </w:p>
    <w:p>
      <w:pPr>
        <w:pStyle w:val="ListParagraph"/>
        <w:numPr>
          <w:ilvl w:val="0"/>
          <w:numId w:val="2"/>
        </w:numPr>
        <w:spacing w:after="80"/>
      </w:pPr>
      <w:r>
        <w:rPr>
          <w:rFonts w:ascii="Arial" w:cs="Arial" w:eastAsia="Arial" w:hAnsi="Arial"/>
          <w:sz w:val="22"/>
          <w:szCs w:val="22"/>
        </w:rPr>
        <w:t xml:space="preserve">Cloud Run logs: buscar 'OOM' o 'Memory limit exceeded' en los primeros 3 minutos de cold start</w:t>
      </w:r>
    </w:p>
    <w:p>
      <w:pPr>
        <w:pStyle w:val="ListParagraph"/>
        <w:numPr>
          <w:ilvl w:val="0"/>
          <w:numId w:val="2"/>
        </w:numPr>
        <w:spacing w:after="80"/>
      </w:pPr>
      <w:r>
        <w:rPr>
          <w:rFonts w:ascii="Arial" w:cs="Arial" w:eastAsia="Arial" w:hAnsi="Arial"/>
          <w:sz w:val="22"/>
          <w:szCs w:val="22"/>
        </w:rPr>
        <w:t xml:space="preserve">Latencia de search_by_product_id: debe mantenerse &lt; 100ms tras el cold start</w:t>
      </w:r>
    </w:p>
    <w:p>
      <w:pPr>
        <w:pStyle w:val="ListParagraph"/>
        <w:numPr>
          <w:ilvl w:val="0"/>
          <w:numId w:val="2"/>
        </w:numPr>
        <w:spacing w:after="80"/>
      </w:pPr>
      <w:r>
        <w:rPr>
          <w:rFonts w:ascii="Arial" w:cs="Arial" w:eastAsia="Arial" w:hAnsi="Arial"/>
          <w:sz w:val="22"/>
          <w:szCs w:val="22"/>
        </w:rPr>
        <w:t xml:space="preserve">Si OOM: la configuracion de 1 vCPU (no la memoria) es la causa; revertir solo --cpu a 2</w:t>
      </w:r>
    </w:p>
    <w:p>
      <w:pPr>
        <w:spacing w:after="80"/>
      </w:pPr>
      <w:r>
        <w:t xml:space="preserve"/>
      </w:r>
    </w:p>
    <w:p>
      <w:pPr>
        <w:pStyle w:val="Heading3"/>
        <w:spacing w:after="60" w:before="200"/>
      </w:pPr>
      <w:r>
        <w:rPr>
          <w:rFonts w:ascii="Arial" w:cs="Arial" w:eastAsia="Arial" w:hAnsi="Arial"/>
          <w:b/>
          <w:bCs/>
          <w:color w:val="1B3A6B"/>
          <w:sz w:val="24"/>
          <w:szCs w:val="24"/>
        </w:rPr>
        <w:t xml:space="preserve">Accion 2 — Lifecycle policy en Artifact Registry</w:t>
      </w:r>
    </w:p>
    <w:p>
      <w:pPr>
        <w:spacing w:after="100"/>
      </w:pPr>
      <w:r>
        <w:rPr>
          <w:rFonts w:ascii="Arial" w:cs="Arial" w:eastAsia="Arial" w:hAnsi="Arial"/>
          <w:sz w:val="22"/>
          <w:szCs w:val="22"/>
        </w:rPr>
        <w:t xml:space="preserve">Impacto estimado: CHF 6-8/mes  |  Esfuerzo: 15 minutos  |  Riesgo: Cero</w:t>
      </w:r>
    </w:p>
    <w:p>
      <w:pPr>
        <w:spacing w:after="100"/>
      </w:pPr>
      <w:r>
        <w:rPr>
          <w:rFonts w:ascii="Arial" w:cs="Arial" w:eastAsia="Arial" w:hAnsi="Arial"/>
          <w:sz w:val="22"/>
          <w:szCs w:val="22"/>
        </w:rPr>
        <w:t xml:space="preserve">Retener solo las ultimas 5 imagenes por repositorio. Cada deploy agrega ~1-2 GB; con limpiezas periodicas el costo se estabiliza por debajo de CHF 5/mes.</w:t>
      </w:r>
    </w:p>
    <w:p>
      <w:pPr>
        <w:shd w:fill="F0F0F0" w:val="clear"/>
        <w:spacing w:after="0"/>
      </w:pPr>
      <w:r>
        <w:rPr>
          <w:rFonts w:ascii="Courier New" w:cs="Courier New" w:eastAsia="Courier New" w:hAnsi="Courier New"/>
          <w:color w:val="1A1A1A"/>
          <w:sz w:val="20"/>
          <w:szCs w:val="20"/>
        </w:rPr>
        <w:t xml:space="preserve">gcloud artifacts repositories set-cleanup-policies &lt;repo-name&gt; \</w:t>
      </w:r>
    </w:p>
    <w:p>
      <w:pPr>
        <w:shd w:fill="F0F0F0" w:val="clear"/>
        <w:spacing w:after="0"/>
      </w:pPr>
      <w:r>
        <w:rPr>
          <w:rFonts w:ascii="Courier New" w:cs="Courier New" w:eastAsia="Courier New" w:hAnsi="Courier New"/>
          <w:color w:val="1A1A1A"/>
          <w:sz w:val="20"/>
          <w:szCs w:val="20"/>
        </w:rPr>
        <w:t xml:space="preserve">  --project=retail-recommendations-449216 \</w:t>
      </w:r>
    </w:p>
    <w:p>
      <w:pPr>
        <w:shd w:fill="F0F0F0" w:val="clear"/>
        <w:spacing w:after="0"/>
      </w:pPr>
      <w:r>
        <w:rPr>
          <w:rFonts w:ascii="Courier New" w:cs="Courier New" w:eastAsia="Courier New" w:hAnsi="Courier New"/>
          <w:color w:val="1A1A1A"/>
          <w:sz w:val="20"/>
          <w:szCs w:val="20"/>
        </w:rPr>
        <w:t xml:space="preserve">  --policy='[{"name":"keep-5","action":{"type":"Keep"},</w:t>
      </w:r>
    </w:p>
    <w:p>
      <w:pPr>
        <w:shd w:fill="F0F0F0" w:val="clear"/>
        <w:spacing w:after="160"/>
      </w:pPr>
      <w:r>
        <w:rPr>
          <w:rFonts w:ascii="Courier New" w:cs="Courier New" w:eastAsia="Courier New" w:hAnsi="Courier New"/>
          <w:color w:val="1A1A1A"/>
          <w:sz w:val="20"/>
          <w:szCs w:val="20"/>
        </w:rPr>
        <w:t xml:space="preserve">    "mostRecentVersions":{"keepCount":5}}]'</w:t>
      </w:r>
    </w:p>
    <w:p>
      <w:pPr>
        <w:pStyle w:val="Heading3"/>
        <w:spacing w:after="60" w:before="200"/>
      </w:pPr>
      <w:r>
        <w:rPr>
          <w:rFonts w:ascii="Arial" w:cs="Arial" w:eastAsia="Arial" w:hAnsi="Arial"/>
          <w:b/>
          <w:bCs/>
          <w:color w:val="1B3A6B"/>
          <w:sz w:val="24"/>
          <w:szCs w:val="24"/>
        </w:rPr>
        <w:t xml:space="preserve">Accion 3 — Auditoria de Secret Manager</w:t>
      </w:r>
    </w:p>
    <w:p>
      <w:pPr>
        <w:spacing w:after="100"/>
      </w:pPr>
      <w:r>
        <w:rPr>
          <w:rFonts w:ascii="Arial" w:cs="Arial" w:eastAsia="Arial" w:hAnsi="Arial"/>
          <w:sz w:val="22"/>
          <w:szCs w:val="22"/>
        </w:rPr>
        <w:t xml:space="preserve">Impacto estimado: CHF 3-5/mes  |  Esfuerzo: 1 hora  |  Riesgo: Bajo</w:t>
      </w:r>
    </w:p>
    <w:p>
      <w:pPr>
        <w:spacing w:after="100"/>
      </w:pPr>
      <w:r>
        <w:rPr>
          <w:rFonts w:ascii="Arial" w:cs="Arial" w:eastAsia="Arial" w:hAnsi="Arial"/>
          <w:sz w:val="22"/>
          <w:szCs w:val="22"/>
        </w:rPr>
        <w:t xml:space="preserve">CHF 9.65 en Secret Manager es elevado para un sistema con ~15-20 secretos. Las causas probables son versiones antiguas sin eliminar (cada version activa cuesta $0.06/mes) y accesos frecuentes sin cache. Acciones:</w:t>
      </w:r>
    </w:p>
    <w:p>
      <w:pPr>
        <w:pStyle w:val="ListParagraph"/>
        <w:numPr>
          <w:ilvl w:val="0"/>
          <w:numId w:val="2"/>
        </w:numPr>
        <w:spacing w:after="80"/>
      </w:pPr>
      <w:r>
        <w:rPr>
          <w:rFonts w:ascii="Arial" w:cs="Arial" w:eastAsia="Arial" w:hAnsi="Arial"/>
          <w:sz w:val="22"/>
          <w:szCs w:val="22"/>
        </w:rPr>
        <w:t xml:space="preserve">Listar todas las versiones activas: gcloud secrets versions list &lt;secret-name&gt; --filter='state=ENABLED'</w:t>
      </w:r>
    </w:p>
    <w:p>
      <w:pPr>
        <w:pStyle w:val="ListParagraph"/>
        <w:numPr>
          <w:ilvl w:val="0"/>
          <w:numId w:val="2"/>
        </w:numPr>
        <w:spacing w:after="80"/>
      </w:pPr>
      <w:r>
        <w:rPr>
          <w:rFonts w:ascii="Arial" w:cs="Arial" w:eastAsia="Arial" w:hAnsi="Arial"/>
          <w:sz w:val="22"/>
          <w:szCs w:val="22"/>
        </w:rPr>
        <w:t xml:space="preserve">Destruir versiones obsoletas que no sean la version activa actual</w:t>
      </w:r>
    </w:p>
    <w:p>
      <w:pPr>
        <w:pStyle w:val="ListParagraph"/>
        <w:numPr>
          <w:ilvl w:val="0"/>
          <w:numId w:val="2"/>
        </w:numPr>
        <w:spacing w:after="80"/>
      </w:pPr>
      <w:r>
        <w:rPr>
          <w:rFonts w:ascii="Arial" w:cs="Arial" w:eastAsia="Arial" w:hAnsi="Arial"/>
          <w:sz w:val="22"/>
          <w:szCs w:val="22"/>
        </w:rPr>
        <w:t xml:space="preserve">Activar cache en el codigo para evitar leer el mismo secreto en cada request</w:t>
      </w:r>
    </w:p>
    <w:p>
      <w:pPr>
        <w:spacing w:after="80"/>
      </w:pPr>
      <w:r>
        <w:t xml:space="preserve"/>
      </w:r>
    </w:p>
    <w:p>
      <w:pPr>
        <w:pStyle w:val="Heading2"/>
        <w:spacing w:after="80" w:before="280"/>
      </w:pPr>
      <w:r>
        <w:rPr>
          <w:rFonts w:ascii="Arial" w:cs="Arial" w:eastAsia="Arial" w:hAnsi="Arial"/>
          <w:b/>
          <w:bCs/>
          <w:color w:val="2E6EAD"/>
          <w:sz w:val="28"/>
          <w:szCs w:val="28"/>
        </w:rPr>
        <w:t xml:space="preserve">3.2 Accion para fase go-live</w:t>
      </w:r>
    </w:p>
    <w:p>
      <w:pPr>
        <w:pStyle w:val="Heading3"/>
        <w:spacing w:after="60" w:before="200"/>
      </w:pPr>
      <w:r>
        <w:rPr>
          <w:rFonts w:ascii="Arial" w:cs="Arial" w:eastAsia="Arial" w:hAnsi="Arial"/>
          <w:b/>
          <w:bCs/>
          <w:color w:val="1B3A6B"/>
          <w:sz w:val="24"/>
          <w:szCs w:val="24"/>
        </w:rPr>
        <w:t xml:space="preserve">Cloud Scheduler warm-up (horario activo)</w:t>
      </w:r>
    </w:p>
    <w:p>
      <w:pPr>
        <w:spacing w:after="100"/>
      </w:pPr>
      <w:r>
        <w:rPr>
          <w:rFonts w:ascii="Arial" w:cs="Arial" w:eastAsia="Arial" w:hAnsi="Arial"/>
          <w:sz w:val="22"/>
          <w:szCs w:val="22"/>
        </w:rPr>
        <w:t xml:space="preserve">Cuando el trafico real justifique mantener el embedding-service warm durante el horario comercial, la solucion optima es un Cloud Scheduler que pinga el servicio cada 8 minutos entre las 8:00 y las 22:00 hora local.</w:t>
      </w:r>
    </w:p>
    <w:p>
      <w:pPr>
        <w:pStyle w:val="ListParagraph"/>
        <w:numPr>
          <w:ilvl w:val="0"/>
          <w:numId w:val="2"/>
        </w:numPr>
        <w:spacing w:after="80"/>
      </w:pPr>
      <w:r>
        <w:rPr>
          <w:rFonts w:ascii="Arial" w:cs="Arial" w:eastAsia="Arial" w:hAnsi="Arial"/>
          <w:sz w:val="22"/>
          <w:szCs w:val="22"/>
        </w:rPr>
        <w:t xml:space="preserve">Costo del Scheduler: ~CHF 0.50/mes</w:t>
      </w:r>
    </w:p>
    <w:p>
      <w:pPr>
        <w:pStyle w:val="ListParagraph"/>
        <w:numPr>
          <w:ilvl w:val="0"/>
          <w:numId w:val="2"/>
        </w:numPr>
        <w:spacing w:after="80"/>
      </w:pPr>
      <w:r>
        <w:rPr>
          <w:rFonts w:ascii="Arial" w:cs="Arial" w:eastAsia="Arial" w:hAnsi="Arial"/>
          <w:sz w:val="22"/>
          <w:szCs w:val="22"/>
        </w:rPr>
        <w:t xml:space="preserve">Ahorro vs min-instances=1: mantiene el servicio warm durante 14h/dia vs 24h/dia</w:t>
      </w:r>
    </w:p>
    <w:p>
      <w:pPr>
        <w:pStyle w:val="ListParagraph"/>
        <w:numPr>
          <w:ilvl w:val="0"/>
          <w:numId w:val="2"/>
        </w:numPr>
        <w:spacing w:after="80"/>
      </w:pPr>
      <w:r>
        <w:rPr>
          <w:rFonts w:ascii="Arial" w:cs="Arial" w:eastAsia="Arial" w:hAnsi="Arial"/>
          <w:sz w:val="22"/>
          <w:szCs w:val="22"/>
        </w:rPr>
        <w:t xml:space="preserve">Ahorro estimado: ~CHF 40-45/mes frente a la configuracion actual</w:t>
      </w:r>
    </w:p>
    <w:p>
      <w:pPr>
        <w:spacing w:after="100"/>
      </w:pPr>
      <w:r>
        <w:rPr>
          <w:rFonts w:ascii="Arial" w:cs="Arial" w:eastAsia="Arial" w:hAnsi="Arial"/>
          <w:sz w:val="22"/>
          <w:szCs w:val="22"/>
        </w:rPr>
        <w:t xml:space="preserve">Esto permite el mejor balance entre experiencia de usuario (sin cold start en horario activo) y costo (no se paga el servicio de madrugada cuando no hay usuarios).</w:t>
      </w:r>
    </w:p>
    <w:p>
      <w:pPr>
        <w:spacing w:after="80"/>
      </w:pPr>
      <w:r>
        <w:t xml:space="preserve"/>
      </w:r>
    </w:p>
    <w:p>
      <w:pPr>
        <w:spacing w:after="0"/>
      </w:pPr>
      <w:r>
        <w:br w:type="page"/>
      </w:r>
    </w:p>
    <w:p>
      <w:pPr>
        <w:pStyle w:val="Heading1"/>
        <w:spacing w:after="120" w:before="360"/>
      </w:pPr>
      <w:r>
        <w:rPr>
          <w:rFonts w:ascii="Arial" w:cs="Arial" w:eastAsia="Arial" w:hAnsi="Arial"/>
          <w:b/>
          <w:bCs/>
          <w:color w:val="1B3A6B"/>
          <w:sz w:val="36"/>
          <w:szCs w:val="36"/>
        </w:rPr>
        <w:t xml:space="preserve">4. Evaluacion Arquitectonica</w:t>
      </w:r>
    </w:p>
    <w:p>
      <w:pPr>
        <w:pStyle w:val="Heading2"/>
        <w:spacing w:after="80" w:before="280"/>
      </w:pPr>
      <w:r>
        <w:rPr>
          <w:rFonts w:ascii="Arial" w:cs="Arial" w:eastAsia="Arial" w:hAnsi="Arial"/>
          <w:b/>
          <w:bCs/>
          <w:color w:val="2E6EAD"/>
          <w:sz w:val="28"/>
          <w:szCs w:val="28"/>
        </w:rPr>
        <w:t xml:space="preserve">4.1 Estado actual — veredicto</w:t>
      </w:r>
    </w:p>
    <w:p>
      <w:pPr>
        <w:spacing w:after="100"/>
      </w:pPr>
      <w:r>
        <w:rPr>
          <w:rFonts w:ascii="Arial" w:cs="Arial" w:eastAsia="Arial" w:hAnsi="Arial"/>
          <w:sz w:val="22"/>
          <w:szCs w:val="22"/>
        </w:rPr>
        <w:t xml:space="preserve">La arquitectura de dos servicios (monolito + embedding-service separado) es la decision correcta y no debe ser revertida. El embedding-service fue correctamente separado porque:</w:t>
      </w:r>
    </w:p>
    <w:p>
      <w:pPr>
        <w:pStyle w:val="ListParagraph"/>
        <w:numPr>
          <w:ilvl w:val="0"/>
          <w:numId w:val="2"/>
        </w:numPr>
        <w:spacing w:after="80"/>
      </w:pPr>
      <w:r>
        <w:rPr>
          <w:rFonts w:ascii="Arial" w:cs="Arial" w:eastAsia="Arial" w:hAnsi="Arial"/>
          <w:sz w:val="22"/>
          <w:szCs w:val="22"/>
        </w:rPr>
        <w:t xml:space="preserve">Aloja modelos ML (FashionSigLIP + MiniLM) con requisitos de memoria incompatibles con min-instances=0 del monolito</w:t>
      </w:r>
    </w:p>
    <w:p>
      <w:pPr>
        <w:pStyle w:val="ListParagraph"/>
        <w:numPr>
          <w:ilvl w:val="0"/>
          <w:numId w:val="2"/>
        </w:numPr>
        <w:spacing w:after="80"/>
      </w:pPr>
      <w:r>
        <w:rPr>
          <w:rFonts w:ascii="Arial" w:cs="Arial" w:eastAsia="Arial" w:hAnsi="Arial"/>
          <w:sz w:val="22"/>
          <w:szCs w:val="22"/>
        </w:rPr>
        <w:t xml:space="preserve">Tiene un ciclo de deployment independiente del core del negocio</w:t>
      </w:r>
    </w:p>
    <w:p>
      <w:pPr>
        <w:pStyle w:val="ListParagraph"/>
        <w:numPr>
          <w:ilvl w:val="0"/>
          <w:numId w:val="2"/>
        </w:numPr>
        <w:spacing w:after="80"/>
      </w:pPr>
      <w:r>
        <w:rPr>
          <w:rFonts w:ascii="Arial" w:cs="Arial" w:eastAsia="Arial" w:hAnsi="Arial"/>
          <w:sz w:val="22"/>
          <w:szCs w:val="22"/>
        </w:rPr>
        <w:t xml:space="preserve">Sus endpoints tienen contratos de latencia distintos (inference ~50ms vs API ~2s)</w:t>
      </w:r>
    </w:p>
    <w:p>
      <w:pPr>
        <w:spacing w:after="100"/>
      </w:pPr>
      <w:r>
        <w:rPr>
          <w:rFonts w:ascii="Arial" w:cs="Arial" w:eastAsia="Arial" w:hAnsi="Arial"/>
          <w:sz w:val="22"/>
          <w:szCs w:val="22"/>
        </w:rPr>
        <w:t xml:space="preserve">El problema no es la arquitectura; es la configuracion de runtime en la fase incorrecta del ciclo de vida del producto. Un sistema en testing con 0 req/seg no justifica la misma configuracion que un sistema en produccion con trafico real.</w:t>
      </w:r>
    </w:p>
    <w:p>
      <w:pPr>
        <w:spacing w:after="80"/>
      </w:pPr>
      <w:r>
        <w:t xml:space="preserve"/>
      </w:r>
    </w:p>
    <w:p>
      <w:pPr>
        <w:pStyle w:val="Heading2"/>
        <w:spacing w:after="80" w:before="280"/>
      </w:pPr>
      <w:r>
        <w:rPr>
          <w:rFonts w:ascii="Arial" w:cs="Arial" w:eastAsia="Arial" w:hAnsi="Arial"/>
          <w:b/>
          <w:bCs/>
          <w:color w:val="2E6EAD"/>
          <w:sz w:val="28"/>
          <w:szCs w:val="28"/>
        </w:rPr>
        <w:t xml:space="preserve">4.2 Evaluacion de migracion a microservicios</w:t>
      </w:r>
    </w:p>
    <w:p>
      <w:pPr>
        <w:spacing w:after="100"/>
      </w:pPr>
      <w:r>
        <w:rPr>
          <w:rFonts w:ascii="Arial" w:cs="Arial" w:eastAsia="Arial" w:hAnsi="Arial"/>
          <w:sz w:val="22"/>
          <w:szCs w:val="22"/>
        </w:rPr>
        <w:t xml:space="preserve">La migracion a microservicios incrementara los costos en el corto plazo y los reducira en el largo plazo, solo si el trafico justifica el granulado fino de scaling. El principio rector es separar solo lo que escala diferente.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Componente</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Accion recomendada</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Impacto en costo</w:t>
            </w:r>
          </w:p>
        </w:tc>
        <w:tc>
          <w:tcPr>
            <w:tcW w:type="dxa" w:w="29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Justificacion</w:t>
            </w:r>
          </w:p>
        </w:tc>
      </w:tr>
      <w:tr>
        <w:tc>
          <w:tcPr>
            <w:tcW w:type="dxa" w:w="28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embedding-service (FashionSigLIP + MiniLM + FAISS)</w:t>
            </w:r>
          </w:p>
        </w:tc>
        <w:tc>
          <w:tcPr>
            <w:tcW w:type="dxa" w:w="18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Mantener separado</w:t>
            </w:r>
          </w:p>
        </w:tc>
        <w:tc>
          <w:tcPr>
            <w:tcW w:type="dxa" w:w="18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Neutral</w:t>
            </w:r>
          </w:p>
        </w:tc>
        <w:tc>
          <w:tcPr>
            <w:tcW w:type="dxa" w:w="29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Ya fue correctamente separado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Intent detection (TF-IDF + LogReg)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Mantener en monolito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+CHF 0</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Ligero, no escala independiente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Personalization engine (LFM)</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Mantener en monolito</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+CHF 0</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Acoplado al flujo conversacional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Knowledge Base (PostgreSQL + Redis)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Mantener en monolito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+CHF 0</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Shared memory = rapido. Separar solo si multitenancy</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Shopify integration</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Mantener en monolito</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+CHF 0</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Dependencia directa del core</w:t>
            </w:r>
          </w:p>
        </w:tc>
      </w:tr>
    </w:tbl>
    <w:p>
      <w:pPr>
        <w:spacing w:after="80"/>
      </w:pPr>
      <w:r>
        <w:t xml:space="preserve"/>
      </w:r>
    </w:p>
    <w:p>
      <w:pPr>
        <w:pBdr>
          <w:left w:val="single" w:color="2E6EAD" w:sz="12" w:space="8"/>
        </w:pBdr>
        <w:spacing w:after="160"/>
      </w:pPr>
      <w:r>
        <w:rPr>
          <w:rFonts w:ascii="Arial" w:cs="Arial" w:eastAsia="Arial" w:hAnsi="Arial"/>
          <w:b/>
          <w:bCs/>
          <w:color w:val="2E6EAD"/>
          <w:sz w:val="20"/>
          <w:szCs w:val="20"/>
        </w:rPr>
        <w:t xml:space="preserve">Conclusion: </w:t>
      </w:r>
      <w:r>
        <w:rPr>
          <w:rFonts w:ascii="Arial" w:cs="Arial" w:eastAsia="Arial" w:hAnsi="Arial"/>
          <w:i/>
          <w:iCs/>
          <w:color w:val="555555"/>
          <w:sz w:val="20"/>
          <w:szCs w:val="20"/>
        </w:rPr>
        <w:t xml:space="preserve">El monolito actual contiene logica de negocio acoplada cuya separacion agrega complejidad operacional sin beneficio de scaling. Cada servicio nuevo implica Artifact Registry adicional, Secret Manager, networking y overhead de autenticacion IAM. La arquitectura de dos servicios es la correcta para el estadio actual y previsible del producto.</w:t>
      </w:r>
    </w:p>
    <w:p>
      <w:pPr>
        <w:spacing w:after="0"/>
      </w:pPr>
      <w:r>
        <w:br w:type="page"/>
      </w:r>
    </w:p>
    <w:p>
      <w:pPr>
        <w:pStyle w:val="Heading1"/>
        <w:spacing w:after="120" w:before="360"/>
      </w:pPr>
      <w:r>
        <w:rPr>
          <w:rFonts w:ascii="Arial" w:cs="Arial" w:eastAsia="Arial" w:hAnsi="Arial"/>
          <w:b/>
          <w:bCs/>
          <w:color w:val="1B3A6B"/>
          <w:sz w:val="36"/>
          <w:szCs w:val="36"/>
        </w:rPr>
        <w:t xml:space="preserve">5. Observaciones Adicionales</w:t>
      </w:r>
    </w:p>
    <w:p>
      <w:pPr>
        <w:pStyle w:val="Heading2"/>
        <w:spacing w:after="80" w:before="280"/>
      </w:pPr>
      <w:r>
        <w:rPr>
          <w:rFonts w:ascii="Arial" w:cs="Arial" w:eastAsia="Arial" w:hAnsi="Arial"/>
          <w:b/>
          <w:bCs/>
          <w:color w:val="2E6EAD"/>
          <w:sz w:val="28"/>
          <w:szCs w:val="28"/>
        </w:rPr>
        <w:t xml:space="preserve">5.1 Recommendations AI (CHF 0.01/mes)</w:t>
      </w:r>
    </w:p>
    <w:p>
      <w:pPr>
        <w:spacing w:after="100"/>
      </w:pPr>
      <w:r>
        <w:rPr>
          <w:rFonts w:ascii="Arial" w:cs="Arial" w:eastAsia="Arial" w:hAnsi="Arial"/>
          <w:sz w:val="22"/>
          <w:szCs w:val="22"/>
        </w:rPr>
        <w:t xml:space="preserve">El servicio Google Cloud Retail API aparece con un costo marginal de CHF 0.01/mes (-50% vs abril). Si no esta siendo utilizado activamente en el roadmap inmediato, puede desactivarse sin impacto. Verificar si esta en uso antes de actuar.</w:t>
      </w:r>
    </w:p>
    <w:p>
      <w:pPr>
        <w:spacing w:after="80"/>
      </w:pPr>
      <w:r>
        <w:t xml:space="preserve"/>
      </w:r>
    </w:p>
    <w:p>
      <w:pPr>
        <w:pStyle w:val="Heading2"/>
        <w:spacing w:after="80" w:before="280"/>
      </w:pPr>
      <w:r>
        <w:rPr>
          <w:rFonts w:ascii="Arial" w:cs="Arial" w:eastAsia="Arial" w:hAnsi="Arial"/>
          <w:b/>
          <w:bCs/>
          <w:color w:val="2E6EAD"/>
          <w:sz w:val="28"/>
          <w:szCs w:val="28"/>
        </w:rPr>
        <w:t xml:space="preserve">5.2 Claude API — credito agotado</w:t>
      </w:r>
    </w:p>
    <w:p>
      <w:pPr>
        <w:spacing w:after="100"/>
      </w:pPr>
      <w:r>
        <w:rPr>
          <w:rFonts w:ascii="Arial" w:cs="Arial" w:eastAsia="Arial" w:hAnsi="Arial"/>
          <w:sz w:val="22"/>
          <w:szCs w:val="22"/>
        </w:rPr>
        <w:t xml:space="preserve">Los logs de produccion muestran 'Claude API warm-up failed: credit balance too low' en cada cold start del monolito. El sistema funciona correctamente porque LFM (Liquid AI via OpenRouter) es la ruta primaria para la generacion de respuestas. Sin embargo, el warm-up fallido aumenta levemente la latencia del primer request tras un cold start. Accion: recargar creditos Anthropic para restaurar el warm-up y el fallback a Claude.</w:t>
      </w:r>
    </w:p>
    <w:p>
      <w:pPr>
        <w:spacing w:after="80"/>
      </w:pPr>
      <w:r>
        <w:t xml:space="preserve"/>
      </w:r>
    </w:p>
    <w:p>
      <w:pPr>
        <w:pStyle w:val="Heading2"/>
        <w:spacing w:after="80" w:before="280"/>
      </w:pPr>
      <w:r>
        <w:rPr>
          <w:rFonts w:ascii="Arial" w:cs="Arial" w:eastAsia="Arial" w:hAnsi="Arial"/>
          <w:b/>
          <w:bCs/>
          <w:color w:val="2E6EAD"/>
          <w:sz w:val="28"/>
          <w:szCs w:val="28"/>
        </w:rPr>
        <w:t xml:space="preserve">5.3 Redis — respuesta lenta ocasional</w:t>
      </w:r>
    </w:p>
    <w:p>
      <w:pPr>
        <w:spacing w:after="100"/>
      </w:pPr>
      <w:r>
        <w:rPr>
          <w:rFonts w:ascii="Arial" w:cs="Arial" w:eastAsia="Arial" w:hAnsi="Arial"/>
          <w:sz w:val="22"/>
          <w:szCs w:val="22"/>
        </w:rPr>
        <w:t xml:space="preserve">Los logs muestran ocasionalmente 'Redis slow response (ping: 1060ms, threshold: 1000ms)'. Estos eventos ocurren durante health checks periodicos, no durante requests de usuario. Monitorear la frecuencia; si aumenta, investigar la configuracion del pool de conexiones Redis.</w:t>
      </w:r>
    </w:p>
    <w:p>
      <w:pPr>
        <w:spacing w:after="80"/>
      </w:pPr>
      <w:r>
        <w:t xml:space="preserve"/>
      </w:r>
    </w:p>
    <w:p>
      <w:pPr>
        <w:pStyle w:val="Heading1"/>
        <w:spacing w:after="120" w:before="360"/>
      </w:pPr>
      <w:r>
        <w:rPr>
          <w:rFonts w:ascii="Arial" w:cs="Arial" w:eastAsia="Arial" w:hAnsi="Arial"/>
          <w:b/>
          <w:bCs/>
          <w:color w:val="1B3A6B"/>
          <w:sz w:val="36"/>
          <w:szCs w:val="36"/>
        </w:rPr>
        <w:t xml:space="preserve">6. Resumen de Acciones Priorizadas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360"/>
        <w:gridCol w:w="1400"/>
        <w:gridCol w:w="1400"/>
        <w:gridCol w:w="18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Accion</w:t>
            </w:r>
          </w:p>
        </w:tc>
        <w:tc>
          <w:tcPr>
            <w:tcW w:type="dxa" w:w="13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Ahorro/mes</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Esfuerzo</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Urgencia</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Responsable</w:t>
            </w:r>
          </w:p>
        </w:tc>
      </w:tr>
      <w:tr>
        <w:tc>
          <w:tcPr>
            <w:tcW w:type="dxa" w:w="4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1</w:t>
            </w:r>
          </w:p>
        </w:tc>
        <w:tc>
          <w:tcPr>
            <w:tcW w:type="dxa" w:w="30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min-instances=0 + 1 vCPU en embedding-service (1 comando)</w:t>
            </w:r>
          </w:p>
        </w:tc>
        <w:tc>
          <w:tcPr>
            <w:tcW w:type="dxa" w:w="13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CHF 85</w:t>
            </w:r>
          </w:p>
        </w:tc>
        <w:tc>
          <w:tcPr>
            <w:tcW w:type="dxa" w:w="14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5 min</w:t>
            </w:r>
          </w:p>
        </w:tc>
        <w:tc>
          <w:tcPr>
            <w:tcW w:type="dxa" w:w="14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INMEDIATA</w:t>
            </w:r>
          </w:p>
        </w:tc>
        <w:tc>
          <w:tcPr>
            <w:tcW w:type="dxa" w:w="18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DevOps</w:t>
            </w:r>
          </w:p>
        </w:tc>
      </w:tr>
      <w:tr>
        <w:tc>
          <w:tcPr>
            <w:tcW w:type="dxa" w:w="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2</w:t>
            </w:r>
          </w:p>
        </w:tc>
        <w:tc>
          <w:tcPr>
            <w:tcW w:type="dxa" w:w="30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Lifecycle policy en Artifact Registry</w:t>
            </w:r>
          </w:p>
        </w:tc>
        <w:tc>
          <w:tcPr>
            <w:tcW w:type="dxa" w:w="136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CHF 6-8</w:t>
            </w:r>
          </w:p>
        </w:tc>
        <w:tc>
          <w:tcPr>
            <w:tcW w:type="dxa" w:w="1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15 min</w:t>
            </w:r>
          </w:p>
        </w:tc>
        <w:tc>
          <w:tcPr>
            <w:tcW w:type="dxa" w:w="1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Semana 1</w:t>
            </w:r>
          </w:p>
        </w:tc>
        <w:tc>
          <w:tcPr>
            <w:tcW w:type="dxa" w:w="18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DevOps</w:t>
            </w:r>
          </w:p>
        </w:tc>
      </w:tr>
      <w:tr>
        <w:tc>
          <w:tcPr>
            <w:tcW w:type="dxa" w:w="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3</w:t>
            </w:r>
          </w:p>
        </w:tc>
        <w:tc>
          <w:tcPr>
            <w:tcW w:type="dxa" w:w="30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Auditoria y limpieza Secret Manager</w:t>
            </w:r>
          </w:p>
        </w:tc>
        <w:tc>
          <w:tcPr>
            <w:tcW w:type="dxa" w:w="136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CHF 3-5</w:t>
            </w:r>
          </w:p>
        </w:tc>
        <w:tc>
          <w:tcPr>
            <w:tcW w:type="dxa" w:w="1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1 hora</w:t>
            </w:r>
          </w:p>
        </w:tc>
        <w:tc>
          <w:tcPr>
            <w:tcW w:type="dxa" w:w="1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Semana 1</w:t>
            </w:r>
          </w:p>
        </w:tc>
        <w:tc>
          <w:tcPr>
            <w:tcW w:type="dxa" w:w="18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DevOps</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4</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Recargar creditos Claude API</w:t>
            </w:r>
          </w:p>
        </w:tc>
        <w:tc>
          <w:tcPr>
            <w:tcW w:type="dxa" w:w="1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N/A</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5 min</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Semana 1</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Finanzas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Cloud Scheduler warm-up (implementar en go-live)</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CHF 40-45</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2 horas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Go-live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Engineering</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6</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Evaluar min-instances=1 cuando trafico &gt; 1 venta/sem</w:t>
            </w:r>
          </w:p>
        </w:tc>
        <w:tc>
          <w:tcPr>
            <w:tcW w:type="dxa" w:w="1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Inversion</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1 cmd</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Go-live</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Decision</w:t>
            </w:r>
          </w:p>
        </w:tc>
      </w:tr>
    </w:tbl>
    <w:p>
      <w:pPr>
        <w:spacing w:after="80"/>
      </w:pPr>
      <w:r>
        <w:t xml:space="preserve"/>
      </w:r>
    </w:p>
    <w:p>
      <w:pPr>
        <w:spacing w:after="80"/>
      </w:pPr>
      <w:r>
        <w:t xml:space="preserve"/>
      </w:r>
    </w:p>
    <w:p>
      <w:pPr>
        <w:pBdr>
          <w:bottom w:val="single" w:color="2E6EAD" w:sz="4" w:space="1"/>
        </w:pBdr>
        <w:spacing w:after="160"/>
      </w:pPr>
      <w:r>
        <w:t xml:space="preserve"/>
      </w:r>
    </w:p>
    <w:p>
      <w:pPr>
        <w:spacing w:after="0"/>
        <w:jc w:val="center"/>
      </w:pPr>
      <w:r>
        <w:rPr>
          <w:rFonts w:ascii="Arial" w:cs="Arial" w:eastAsia="Arial" w:hAnsi="Arial"/>
          <w:color w:val="999999"/>
          <w:sz w:val="18"/>
          <w:szCs w:val="18"/>
        </w:rPr>
        <w:t xml:space="preserve">Retail Recommender System v2.1.0  |  Analisis generado: 02/06/2026  |  retail-recommendations-449216 / us-central1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6EAD"/>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2026-06-03T11:43:42.641Z</dcterms:created>
  <dcterms:modified xsi:type="dcterms:W3CDTF">2026-06-03T11:43:42.641Z</dcterms:modified>
</cp:coreProperties>
</file>

<file path=docProps/custom.xml><?xml version="1.0" encoding="utf-8"?>
<Properties xmlns="http://schemas.openxmlformats.org/officeDocument/2006/custom-properties" xmlns:vt="http://schemas.openxmlformats.org/officeDocument/2006/docPropsVTypes"/>
</file>