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 Geral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Usuário: Estudante da área de tecnologia/programação que está procurando uma forma lúdica e imersiva de testar seus conhecimentos na linguagem de programação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Ponto de entrada: Abre o jogo no desktop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Ponto de Saída: Finaliza a história com um dos finais disponíveis (Feliz ou triste)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732.02148796821"/>
        <w:gridCol w:w="3884.8127161674893"/>
        <w:gridCol w:w="2408.6776068879244"/>
        <w:tblGridChange w:id="0">
          <w:tblGrid>
            <w:gridCol w:w="2732.02148796821"/>
            <w:gridCol w:w="3884.8127161674893"/>
            <w:gridCol w:w="2408.67760688792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 do Jogador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Emoção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 o jogo, vê a intro animada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Curiosidade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Clica em "Iniciar Jogo"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Cena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a narrativa, conhece personagens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Empatia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Escolha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Decide como agir com outro personagem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Engajamento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Mini-jogo ou pergunta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Responde perguntas ou puzzles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Desafio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Escolha de continuar ou 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Decide continuar ou encerrar a sequência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Decisão crítica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bom ou ruim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Chega a um dos finais possíveis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Satisfação ou Frustração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Rejoga para outro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 o sistema de salvamento ou rollback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Motivação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