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6B72" w14:textId="77777777" w:rsidR="00C73833" w:rsidRPr="009D6348" w:rsidRDefault="00C73833" w:rsidP="00C73833">
      <w:pPr>
        <w:rPr>
          <w:b/>
          <w:bCs/>
          <w:sz w:val="20"/>
          <w:szCs w:val="20"/>
        </w:rPr>
      </w:pPr>
      <w:r w:rsidRPr="009D6348">
        <w:rPr>
          <w:b/>
          <w:bCs/>
          <w:sz w:val="20"/>
          <w:szCs w:val="20"/>
        </w:rPr>
        <w:t>Describe your data and one or more of your questions from the point of view of measurement theory, guided by the steps in Voje et al. 2023 Figure 1 (note that this is not the same as Figure I). That is: describe the theoretical context, relevant attributes, what you will measure on what kind of scale, and how this will affect your statistical analyses.</w:t>
      </w:r>
    </w:p>
    <w:p w14:paraId="61F4B885" w14:textId="20EE6898" w:rsidR="0096075B" w:rsidRDefault="0096075B" w:rsidP="00C73833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52F5EA4" wp14:editId="1258C96A">
            <wp:extent cx="5943600" cy="1736725"/>
            <wp:effectExtent l="0" t="0" r="0" b="0"/>
            <wp:docPr id="194842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5704" name=""/>
                    <pic:cNvPicPr/>
                  </pic:nvPicPr>
                  <pic:blipFill rotWithShape="1">
                    <a:blip r:embed="rId5"/>
                    <a:srcRect t="2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22FD8" w14:textId="07A4C625" w:rsidR="0096075B" w:rsidRDefault="0096075B" w:rsidP="00C73833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Theoretical context</w:t>
      </w:r>
    </w:p>
    <w:p w14:paraId="04FF9727" w14:textId="53E77695" w:rsidR="0096075B" w:rsidRPr="00A5272D" w:rsidRDefault="00B871D2" w:rsidP="00A5272D">
      <w:pPr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 w:rsidR="00A5272D">
        <w:rPr>
          <w:sz w:val="20"/>
          <w:szCs w:val="20"/>
        </w:rPr>
        <w:t>theoretical</w:t>
      </w:r>
      <w:r>
        <w:rPr>
          <w:sz w:val="20"/>
          <w:szCs w:val="20"/>
        </w:rPr>
        <w:t xml:space="preserve"> </w:t>
      </w:r>
      <w:r w:rsidR="00A5272D">
        <w:rPr>
          <w:sz w:val="20"/>
          <w:szCs w:val="20"/>
        </w:rPr>
        <w:t>context of this data is sex-specific evolutionary processes and attributes. Particularly, how males and females show differences in patterns of genomics variation. And how this can be used to achieve an overarching goal in identifying</w:t>
      </w:r>
      <w:r w:rsidR="0096075B" w:rsidRPr="007E0771">
        <w:rPr>
          <w:sz w:val="20"/>
          <w:szCs w:val="20"/>
        </w:rPr>
        <w:t xml:space="preserve"> and </w:t>
      </w:r>
      <w:r w:rsidR="00A5272D">
        <w:rPr>
          <w:sz w:val="20"/>
          <w:szCs w:val="20"/>
        </w:rPr>
        <w:t>mapping</w:t>
      </w:r>
      <w:r w:rsidR="0096075B" w:rsidRPr="007E0771">
        <w:rPr>
          <w:sz w:val="20"/>
          <w:szCs w:val="20"/>
        </w:rPr>
        <w:t xml:space="preserve"> the female-determining region</w:t>
      </w:r>
      <w:r>
        <w:rPr>
          <w:sz w:val="20"/>
          <w:szCs w:val="20"/>
        </w:rPr>
        <w:t xml:space="preserve"> of</w:t>
      </w:r>
      <w:r w:rsidR="0096075B" w:rsidRPr="007E0771">
        <w:rPr>
          <w:sz w:val="20"/>
          <w:szCs w:val="20"/>
        </w:rPr>
        <w:t xml:space="preserve"> </w:t>
      </w:r>
      <w:r w:rsidR="0096075B" w:rsidRPr="007E0771">
        <w:rPr>
          <w:i/>
          <w:iCs/>
          <w:sz w:val="20"/>
          <w:szCs w:val="20"/>
        </w:rPr>
        <w:t>Xenopus longip</w:t>
      </w:r>
      <w:r>
        <w:rPr>
          <w:i/>
          <w:iCs/>
          <w:sz w:val="20"/>
          <w:szCs w:val="20"/>
        </w:rPr>
        <w:t>es.</w:t>
      </w:r>
      <w:r w:rsidR="00A5272D">
        <w:rPr>
          <w:sz w:val="20"/>
          <w:szCs w:val="20"/>
        </w:rPr>
        <w:t xml:space="preserve"> In this case, the attribute of interest is not directly observable, but can be inferred from statistical summaries of genomics data. </w:t>
      </w:r>
    </w:p>
    <w:p w14:paraId="6B4572ED" w14:textId="5395EF5C" w:rsidR="0096075B" w:rsidRDefault="0096075B" w:rsidP="00C73833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Empirical relational structure</w:t>
      </w:r>
    </w:p>
    <w:p w14:paraId="7BD76264" w14:textId="5292A2F3" w:rsidR="00A5272D" w:rsidRDefault="000A759D" w:rsidP="00C73833">
      <w:pPr>
        <w:rPr>
          <w:sz w:val="20"/>
          <w:szCs w:val="20"/>
        </w:rPr>
      </w:pPr>
      <w:r>
        <w:rPr>
          <w:sz w:val="20"/>
          <w:szCs w:val="20"/>
        </w:rPr>
        <w:t>The key relevant</w:t>
      </w:r>
      <w:r w:rsidR="00A5272D">
        <w:rPr>
          <w:sz w:val="20"/>
          <w:szCs w:val="20"/>
        </w:rPr>
        <w:t xml:space="preserve"> empirical attribute is the sex of individuals</w:t>
      </w:r>
      <w:r>
        <w:rPr>
          <w:sz w:val="20"/>
          <w:szCs w:val="20"/>
        </w:rPr>
        <w:t>, which is</w:t>
      </w:r>
      <w:r w:rsidR="002247A8">
        <w:rPr>
          <w:sz w:val="20"/>
          <w:szCs w:val="20"/>
        </w:rPr>
        <w:t xml:space="preserve"> a binary biological attribute</w:t>
      </w:r>
      <w:r>
        <w:rPr>
          <w:sz w:val="20"/>
          <w:szCs w:val="20"/>
        </w:rPr>
        <w:t xml:space="preserve">, so male and female, that will structure all downstream analyses and comparisons. The dataset consists of: </w:t>
      </w:r>
    </w:p>
    <w:p w14:paraId="76C6E465" w14:textId="0E116CFE" w:rsidR="000A759D" w:rsidRPr="000A759D" w:rsidRDefault="000A759D" w:rsidP="000A759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A759D">
        <w:rPr>
          <w:sz w:val="20"/>
          <w:szCs w:val="20"/>
        </w:rPr>
        <w:t xml:space="preserve">Reduced Representation Genome Sequencing (RRGS) reads from 34 </w:t>
      </w:r>
      <w:r w:rsidRPr="000A759D">
        <w:rPr>
          <w:i/>
          <w:iCs/>
          <w:sz w:val="20"/>
          <w:szCs w:val="20"/>
        </w:rPr>
        <w:t>X. longipes</w:t>
      </w:r>
      <w:r w:rsidRPr="000A759D">
        <w:rPr>
          <w:sz w:val="20"/>
          <w:szCs w:val="20"/>
        </w:rPr>
        <w:t xml:space="preserve"> individuals</w:t>
      </w:r>
    </w:p>
    <w:p w14:paraId="4734E643" w14:textId="4D8EF40F" w:rsidR="000A759D" w:rsidRPr="000A759D" w:rsidRDefault="000A759D" w:rsidP="000A759D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</w:t>
      </w:r>
      <w:r w:rsidRPr="000A759D">
        <w:rPr>
          <w:sz w:val="20"/>
          <w:szCs w:val="20"/>
        </w:rPr>
        <w:t xml:space="preserve"> long-read reference genome assembly</w:t>
      </w:r>
    </w:p>
    <w:p w14:paraId="441190CF" w14:textId="6CDE15F4" w:rsidR="000A759D" w:rsidRDefault="000A759D" w:rsidP="000A759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0A759D">
        <w:rPr>
          <w:sz w:val="20"/>
          <w:szCs w:val="20"/>
        </w:rPr>
        <w:t xml:space="preserve">RNA-seq data from </w:t>
      </w:r>
      <w:r>
        <w:rPr>
          <w:sz w:val="20"/>
          <w:szCs w:val="20"/>
        </w:rPr>
        <w:t xml:space="preserve">the </w:t>
      </w:r>
      <w:r w:rsidRPr="000A759D">
        <w:rPr>
          <w:sz w:val="20"/>
          <w:szCs w:val="20"/>
        </w:rPr>
        <w:t>developing gonads of 12 individuals</w:t>
      </w:r>
      <w:r w:rsidR="004500C2">
        <w:rPr>
          <w:sz w:val="20"/>
          <w:szCs w:val="20"/>
        </w:rPr>
        <w:t xml:space="preserve"> </w:t>
      </w:r>
    </w:p>
    <w:p w14:paraId="018054E9" w14:textId="3AFF30A2" w:rsidR="000A759D" w:rsidRPr="000A759D" w:rsidRDefault="000A759D" w:rsidP="000A759D">
      <w:pPr>
        <w:rPr>
          <w:sz w:val="20"/>
          <w:szCs w:val="20"/>
        </w:rPr>
      </w:pPr>
      <w:r>
        <w:rPr>
          <w:sz w:val="20"/>
          <w:szCs w:val="20"/>
        </w:rPr>
        <w:t xml:space="preserve">From this dataset, we can use allele frequencies, sequence coverage, heterozygosity, and gene expression to compare between the sexes across genomic loci or windows. </w:t>
      </w:r>
      <w:r w:rsidR="00FB5B73">
        <w:rPr>
          <w:sz w:val="20"/>
          <w:szCs w:val="20"/>
        </w:rPr>
        <w:t xml:space="preserve">Since the empirical relational structure is </w:t>
      </w:r>
      <w:r w:rsidR="000C0A31">
        <w:rPr>
          <w:sz w:val="20"/>
          <w:szCs w:val="20"/>
        </w:rPr>
        <w:t>defined</w:t>
      </w:r>
      <w:r w:rsidR="00FB5B73">
        <w:rPr>
          <w:sz w:val="20"/>
          <w:szCs w:val="20"/>
        </w:rPr>
        <w:t xml:space="preserve"> by group-level comparisons, meaningful relationships will be differences and similarities between sexes at specific genomic regions. </w:t>
      </w:r>
      <w:r w:rsidR="000C0A31" w:rsidRPr="000C0A31">
        <w:rPr>
          <w:sz w:val="20"/>
          <w:szCs w:val="20"/>
        </w:rPr>
        <w:t>Regions showing consistent sex-specific patterns across multiple metrics are predicted to represent sex-linked regions.</w:t>
      </w:r>
    </w:p>
    <w:p w14:paraId="02AF0372" w14:textId="49AE3C2C" w:rsidR="0096075B" w:rsidRDefault="0096075B" w:rsidP="00C73833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Numerical Relational structure</w:t>
      </w:r>
    </w:p>
    <w:p w14:paraId="64C4163D" w14:textId="484B2B7C" w:rsidR="00FB5B73" w:rsidRDefault="00FB5B73" w:rsidP="00C73833">
      <w:pPr>
        <w:rPr>
          <w:sz w:val="20"/>
          <w:szCs w:val="20"/>
        </w:rPr>
      </w:pPr>
      <w:r>
        <w:rPr>
          <w:sz w:val="20"/>
          <w:szCs w:val="20"/>
        </w:rPr>
        <w:t xml:space="preserve">To represent the empirical attributes described above, several summary statistics will be used with its own measurement scale. </w:t>
      </w:r>
    </w:p>
    <w:p w14:paraId="7566FE02" w14:textId="03D8B4B2" w:rsidR="00FB5B73" w:rsidRDefault="00FB5B73" w:rsidP="00C73833">
      <w:pPr>
        <w:rPr>
          <w:sz w:val="20"/>
          <w:szCs w:val="20"/>
        </w:rPr>
      </w:pPr>
      <w:r>
        <w:rPr>
          <w:sz w:val="20"/>
          <w:szCs w:val="20"/>
        </w:rPr>
        <w:t xml:space="preserve">Starting with sequencing coverage, </w:t>
      </w:r>
      <w:r w:rsidRPr="00FB5B73">
        <w:rPr>
          <w:sz w:val="20"/>
          <w:szCs w:val="20"/>
        </w:rPr>
        <w:t xml:space="preserve">will be calculated using </w:t>
      </w:r>
      <w:r w:rsidRPr="00AD50F0">
        <w:rPr>
          <w:i/>
          <w:iCs/>
          <w:sz w:val="20"/>
          <w:szCs w:val="20"/>
        </w:rPr>
        <w:t>bamCoverage</w:t>
      </w:r>
      <w:r w:rsidRPr="00FB5B73">
        <w:rPr>
          <w:sz w:val="20"/>
          <w:szCs w:val="20"/>
        </w:rPr>
        <w:t>, normalized to the genome-wide median. Coverage is measured on a ratio scale, with a true zero indicating absence of mapped reads.</w:t>
      </w:r>
      <w:r>
        <w:rPr>
          <w:sz w:val="20"/>
          <w:szCs w:val="20"/>
        </w:rPr>
        <w:t xml:space="preserve"> There can be several scenarios when it comes to coverage</w:t>
      </w:r>
      <w:r w:rsidR="00FE4A0A">
        <w:rPr>
          <w:sz w:val="20"/>
          <w:szCs w:val="20"/>
        </w:rPr>
        <w:t xml:space="preserve">, keeping in mind that </w:t>
      </w:r>
      <w:r w:rsidR="00FE4A0A">
        <w:rPr>
          <w:i/>
          <w:iCs/>
          <w:sz w:val="20"/>
          <w:szCs w:val="20"/>
        </w:rPr>
        <w:t>X. longipes</w:t>
      </w:r>
      <w:r w:rsidR="00FE4A0A">
        <w:rPr>
          <w:sz w:val="20"/>
          <w:szCs w:val="20"/>
        </w:rPr>
        <w:t xml:space="preserve"> have female heterozygosity</w:t>
      </w:r>
      <w:r>
        <w:rPr>
          <w:sz w:val="20"/>
          <w:szCs w:val="20"/>
        </w:rPr>
        <w:t xml:space="preserve">: </w:t>
      </w:r>
    </w:p>
    <w:p w14:paraId="081797E1" w14:textId="4C8D147E" w:rsidR="00FB5B73" w:rsidRPr="00FB5B73" w:rsidRDefault="00FB5B73" w:rsidP="00FB5B7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B5B73">
        <w:rPr>
          <w:sz w:val="20"/>
          <w:szCs w:val="20"/>
        </w:rPr>
        <w:lastRenderedPageBreak/>
        <w:t>Regions with approximately zero coverage in males but non</w:t>
      </w:r>
      <w:r w:rsidR="00AD50F0">
        <w:rPr>
          <w:sz w:val="20"/>
          <w:szCs w:val="20"/>
        </w:rPr>
        <w:t>-</w:t>
      </w:r>
      <w:r w:rsidRPr="00FB5B73">
        <w:rPr>
          <w:sz w:val="20"/>
          <w:szCs w:val="20"/>
        </w:rPr>
        <w:t>zero coverage in females may indicate female</w:t>
      </w:r>
      <w:r w:rsidR="00AD50F0">
        <w:rPr>
          <w:sz w:val="20"/>
          <w:szCs w:val="20"/>
        </w:rPr>
        <w:t>-specifi</w:t>
      </w:r>
      <w:r w:rsidRPr="00FB5B73">
        <w:rPr>
          <w:sz w:val="20"/>
          <w:szCs w:val="20"/>
        </w:rPr>
        <w:t>c (</w:t>
      </w:r>
      <w:r w:rsidR="00AD50F0">
        <w:rPr>
          <w:sz w:val="20"/>
          <w:szCs w:val="20"/>
        </w:rPr>
        <w:t>w</w:t>
      </w:r>
      <w:r w:rsidRPr="00FB5B73">
        <w:rPr>
          <w:sz w:val="20"/>
          <w:szCs w:val="20"/>
        </w:rPr>
        <w:t>-linked) regions.</w:t>
      </w:r>
    </w:p>
    <w:p w14:paraId="15431231" w14:textId="0C2A350F" w:rsidR="00FB5B73" w:rsidRDefault="00FB5B73" w:rsidP="00FB5B7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B5B73">
        <w:rPr>
          <w:sz w:val="20"/>
          <w:szCs w:val="20"/>
        </w:rPr>
        <w:t>Regions with approximately half the normalized coverage in one sex relative to the other may reflect sex-linked dosage differences.</w:t>
      </w:r>
    </w:p>
    <w:p w14:paraId="58FBE6F5" w14:textId="3E90AA5D" w:rsidR="00AD50F0" w:rsidRDefault="00AD50F0" w:rsidP="00AD50F0">
      <w:pPr>
        <w:rPr>
          <w:sz w:val="20"/>
          <w:szCs w:val="20"/>
        </w:rPr>
      </w:pPr>
      <w:r>
        <w:rPr>
          <w:sz w:val="20"/>
          <w:szCs w:val="20"/>
        </w:rPr>
        <w:t xml:space="preserve">Next, heterozygosity </w:t>
      </w:r>
      <w:r w:rsidR="00FE4A0A">
        <w:rPr>
          <w:sz w:val="20"/>
          <w:szCs w:val="20"/>
        </w:rPr>
        <w:t xml:space="preserve">(or sometimes referred to as polymorphisms) </w:t>
      </w:r>
      <w:r w:rsidRPr="00AD50F0">
        <w:rPr>
          <w:sz w:val="20"/>
          <w:szCs w:val="20"/>
        </w:rPr>
        <w:t xml:space="preserve">will be estimated using genotype likelihood–based methods (e.g. ANGSD) and association analyses (e.g. PLINK). </w:t>
      </w:r>
      <w:r>
        <w:rPr>
          <w:sz w:val="20"/>
          <w:szCs w:val="20"/>
        </w:rPr>
        <w:t xml:space="preserve">It will be </w:t>
      </w:r>
      <w:r w:rsidRPr="00AD50F0">
        <w:rPr>
          <w:sz w:val="20"/>
          <w:szCs w:val="20"/>
        </w:rPr>
        <w:t>measured on a ratio scale, representing the proportion of heterozygous sites.</w:t>
      </w:r>
      <w:r>
        <w:rPr>
          <w:sz w:val="20"/>
          <w:szCs w:val="20"/>
        </w:rPr>
        <w:t xml:space="preserve"> </w:t>
      </w:r>
      <w:r w:rsidR="00FE4A0A" w:rsidRPr="00FE4A0A">
        <w:rPr>
          <w:sz w:val="20"/>
          <w:szCs w:val="20"/>
        </w:rPr>
        <w:t>Elevated heterozygosity in one sex relative to the other</w:t>
      </w:r>
      <w:r w:rsidR="00FE4A0A">
        <w:rPr>
          <w:sz w:val="20"/>
          <w:szCs w:val="20"/>
        </w:rPr>
        <w:t xml:space="preserve"> – females in case of female heterogametey - </w:t>
      </w:r>
      <w:r w:rsidR="00FE4A0A" w:rsidRPr="00FE4A0A">
        <w:rPr>
          <w:sz w:val="20"/>
          <w:szCs w:val="20"/>
        </w:rPr>
        <w:t>may</w:t>
      </w:r>
      <w:r w:rsidR="00FE4A0A" w:rsidRPr="00FE4A0A">
        <w:rPr>
          <w:sz w:val="20"/>
          <w:szCs w:val="20"/>
        </w:rPr>
        <w:t xml:space="preserve"> indicate sex-linked regions, whereas uniformly low heterozygosity is expected for autosomal regions</w:t>
      </w:r>
      <w:r w:rsidR="00FE4A0A">
        <w:rPr>
          <w:sz w:val="20"/>
          <w:szCs w:val="20"/>
        </w:rPr>
        <w:t>. Since our available data is low-coverage, Next Generation Sequencing, we will focus on the ANGSD output, as opposed to PLINK association which is designed for high-confidence called genotypes. In the ANGSD output, a Likelihood Ratio Test (LRT) is computed for polymorphic sites. A p-value is generated for such sites to define highly confident and clear polymorphic sites. P-values will be transformed to -log</w:t>
      </w:r>
      <w:r w:rsidR="00FE4A0A">
        <w:rPr>
          <w:sz w:val="20"/>
          <w:szCs w:val="20"/>
          <w:vertAlign w:val="subscript"/>
        </w:rPr>
        <w:t>10</w:t>
      </w:r>
      <w:r w:rsidR="00FE4A0A">
        <w:rPr>
          <w:sz w:val="20"/>
          <w:szCs w:val="20"/>
        </w:rPr>
        <w:t xml:space="preserve">(P) for easier and more meaningful visualization.  </w:t>
      </w:r>
    </w:p>
    <w:p w14:paraId="7618BEC2" w14:textId="16506D6C" w:rsidR="00661548" w:rsidRPr="004500C2" w:rsidRDefault="00AD50F0" w:rsidP="004500C2">
      <w:pPr>
        <w:rPr>
          <w:sz w:val="20"/>
          <w:szCs w:val="20"/>
        </w:rPr>
      </w:pPr>
      <w:r>
        <w:rPr>
          <w:sz w:val="20"/>
          <w:szCs w:val="20"/>
        </w:rPr>
        <w:t xml:space="preserve">Then, Fixation Index (FST) </w:t>
      </w:r>
      <w:r w:rsidR="009D6348">
        <w:rPr>
          <w:sz w:val="20"/>
          <w:szCs w:val="20"/>
        </w:rPr>
        <w:t>will be a ratio</w:t>
      </w:r>
      <w:r w:rsidR="00561292">
        <w:rPr>
          <w:sz w:val="20"/>
          <w:szCs w:val="20"/>
        </w:rPr>
        <w:t xml:space="preserve"> that </w:t>
      </w:r>
      <w:r w:rsidR="005C5A28">
        <w:rPr>
          <w:sz w:val="20"/>
          <w:szCs w:val="20"/>
        </w:rPr>
        <w:t>quantifies</w:t>
      </w:r>
      <w:r w:rsidR="00561292">
        <w:rPr>
          <w:sz w:val="20"/>
          <w:szCs w:val="20"/>
        </w:rPr>
        <w:t xml:space="preserve"> the genetic diversity due to differences between two populations – in this case the two populations will be </w:t>
      </w:r>
      <w:r w:rsidR="005C5A28">
        <w:rPr>
          <w:sz w:val="20"/>
          <w:szCs w:val="20"/>
        </w:rPr>
        <w:t>m</w:t>
      </w:r>
      <w:r w:rsidR="00561292">
        <w:rPr>
          <w:sz w:val="20"/>
          <w:szCs w:val="20"/>
        </w:rPr>
        <w:t xml:space="preserve">ale and </w:t>
      </w:r>
      <w:r w:rsidR="005C5A28">
        <w:rPr>
          <w:sz w:val="20"/>
          <w:szCs w:val="20"/>
        </w:rPr>
        <w:t>f</w:t>
      </w:r>
      <w:r w:rsidR="00561292">
        <w:rPr>
          <w:sz w:val="20"/>
          <w:szCs w:val="20"/>
        </w:rPr>
        <w:t xml:space="preserve">emale phenotypes. The values will range from 0 to 1. </w:t>
      </w:r>
      <w:r w:rsidR="00661548" w:rsidRPr="004500C2">
        <w:rPr>
          <w:sz w:val="20"/>
          <w:szCs w:val="20"/>
        </w:rPr>
        <w:t xml:space="preserve">We will compare the FST scores between genomic windows with ‘high’ FST scores indicating sex-linked windows (due to differences between the populations) and ‘low’ FST scores indicating autosomal windows. </w:t>
      </w:r>
    </w:p>
    <w:p w14:paraId="543F59B5" w14:textId="5ECE9124" w:rsidR="00064209" w:rsidRDefault="00064209" w:rsidP="00C73833">
      <w:pPr>
        <w:rPr>
          <w:sz w:val="20"/>
          <w:szCs w:val="20"/>
        </w:rPr>
      </w:pPr>
      <w:r>
        <w:rPr>
          <w:sz w:val="20"/>
          <w:szCs w:val="20"/>
        </w:rPr>
        <w:t xml:space="preserve">Sex-biased gene expression: </w:t>
      </w:r>
      <w:r w:rsidR="009D6348" w:rsidRPr="009D6348">
        <w:rPr>
          <w:sz w:val="20"/>
          <w:szCs w:val="20"/>
        </w:rPr>
        <w:t xml:space="preserve">we can infer the sex biased expression of genes </w:t>
      </w:r>
      <w:r w:rsidR="009D6348">
        <w:rPr>
          <w:sz w:val="20"/>
          <w:szCs w:val="20"/>
        </w:rPr>
        <w:t>from RNA sequence</w:t>
      </w:r>
      <w:r w:rsidR="009D6348" w:rsidRPr="009D6348">
        <w:rPr>
          <w:sz w:val="20"/>
          <w:szCs w:val="20"/>
        </w:rPr>
        <w:t xml:space="preserve"> we can do gene ontology. We can infer expression from ratio of male to female expression. </w:t>
      </w:r>
      <w:r w:rsidR="004500C2">
        <w:rPr>
          <w:sz w:val="20"/>
          <w:szCs w:val="20"/>
        </w:rPr>
        <w:t xml:space="preserve">Since RNA-seq data is not yet available, I will not discuss it in detail. </w:t>
      </w:r>
    </w:p>
    <w:p w14:paraId="2AB0BD21" w14:textId="59545E33" w:rsidR="0096075B" w:rsidRDefault="0096075B" w:rsidP="0096075B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Meaningful inferences </w:t>
      </w:r>
    </w:p>
    <w:p w14:paraId="645B5FC8" w14:textId="6EFF27AB" w:rsidR="0096075B" w:rsidRDefault="007D1337" w:rsidP="007D1337">
      <w:pPr>
        <w:rPr>
          <w:sz w:val="20"/>
          <w:szCs w:val="20"/>
        </w:rPr>
      </w:pPr>
      <w:r>
        <w:rPr>
          <w:sz w:val="20"/>
          <w:szCs w:val="20"/>
        </w:rPr>
        <w:t>All the statistical analyses discussed above will be leveraged to u</w:t>
      </w:r>
      <w:r w:rsidR="0096075B" w:rsidRPr="0096075B">
        <w:rPr>
          <w:sz w:val="20"/>
          <w:szCs w:val="20"/>
        </w:rPr>
        <w:t>nderstand the genetic basis</w:t>
      </w:r>
      <w:r w:rsidR="0096075B">
        <w:rPr>
          <w:sz w:val="20"/>
          <w:szCs w:val="20"/>
        </w:rPr>
        <w:t xml:space="preserve"> and evolution of developmental traits such as sex determination </w:t>
      </w:r>
      <w:r>
        <w:rPr>
          <w:sz w:val="20"/>
          <w:szCs w:val="20"/>
        </w:rPr>
        <w:t>and overall g</w:t>
      </w:r>
      <w:r w:rsidR="0096075B">
        <w:rPr>
          <w:sz w:val="20"/>
          <w:szCs w:val="20"/>
        </w:rPr>
        <w:t xml:space="preserve">enerate </w:t>
      </w:r>
      <w:r w:rsidR="0096075B" w:rsidRPr="0096075B">
        <w:rPr>
          <w:sz w:val="20"/>
          <w:szCs w:val="20"/>
        </w:rPr>
        <w:t>empirical evidence with which to test models of sex chromosome turnover</w:t>
      </w:r>
    </w:p>
    <w:p w14:paraId="09EB738A" w14:textId="77777777" w:rsidR="000C463B" w:rsidRDefault="000C463B" w:rsidP="000C463B">
      <w:pPr>
        <w:rPr>
          <w:sz w:val="20"/>
          <w:szCs w:val="20"/>
        </w:rPr>
      </w:pPr>
      <w:r w:rsidRPr="009D6348">
        <w:rPr>
          <w:b/>
          <w:bCs/>
          <w:sz w:val="20"/>
          <w:szCs w:val="20"/>
        </w:rPr>
        <w:t>Also, for at least one comparison discuss how you will decide whether a difference is “important” – you could specify a cutoff level or describe how you will investigate this question further</w:t>
      </w:r>
      <w:r w:rsidRPr="00C73833">
        <w:rPr>
          <w:sz w:val="20"/>
          <w:szCs w:val="20"/>
        </w:rPr>
        <w:t>.</w:t>
      </w:r>
    </w:p>
    <w:p w14:paraId="77273373" w14:textId="213864A6" w:rsidR="0096075B" w:rsidRDefault="00555182" w:rsidP="0096075B">
      <w:pPr>
        <w:rPr>
          <w:sz w:val="20"/>
          <w:szCs w:val="20"/>
        </w:rPr>
      </w:pPr>
      <w:r>
        <w:rPr>
          <w:sz w:val="20"/>
          <w:szCs w:val="20"/>
        </w:rPr>
        <w:t>In the type of analyses that will be performed, biological importance will be inferred during the exploration of the data. Here, I’ll discuss FST scores and -log</w:t>
      </w:r>
      <w:r>
        <w:rPr>
          <w:sz w:val="20"/>
          <w:szCs w:val="20"/>
          <w:vertAlign w:val="subscript"/>
        </w:rPr>
        <w:t>10</w:t>
      </w:r>
      <w:r>
        <w:rPr>
          <w:sz w:val="20"/>
          <w:szCs w:val="20"/>
        </w:rPr>
        <w:t xml:space="preserve">(P) values. </w:t>
      </w:r>
    </w:p>
    <w:p w14:paraId="16890102" w14:textId="77777777" w:rsidR="00555182" w:rsidRPr="00555182" w:rsidRDefault="00555182" w:rsidP="00555182">
      <w:pPr>
        <w:rPr>
          <w:sz w:val="20"/>
          <w:szCs w:val="20"/>
        </w:rPr>
      </w:pPr>
      <w:r w:rsidRPr="00555182">
        <w:rPr>
          <w:sz w:val="20"/>
          <w:szCs w:val="20"/>
        </w:rPr>
        <w:t>Differences in FST between genomic windows will be considered biologically important if they are extreme relative to the genome-wide distribution, rather than based on an absolute threshold. For example, windows falling within the upper tail (e.g. top 1% or 0.5%) of sex-specific FST values will be treated as candidate sex-linked regions. This approach defines importance relative to the empirical background level of differentiation expected across the genome.</w:t>
      </w:r>
    </w:p>
    <w:p w14:paraId="628C297C" w14:textId="78D5B42E" w:rsidR="00555182" w:rsidRPr="00555182" w:rsidRDefault="00555182" w:rsidP="00555182">
      <w:pPr>
        <w:rPr>
          <w:sz w:val="20"/>
          <w:szCs w:val="20"/>
        </w:rPr>
      </w:pPr>
      <w:r w:rsidRPr="00555182">
        <w:rPr>
          <w:sz w:val="20"/>
          <w:szCs w:val="20"/>
        </w:rPr>
        <w:t xml:space="preserve">For association analyses, –log₁₀(P) values may be used as a screening criterion (e.g. –log₁₀(P) </w:t>
      </w:r>
      <w:r>
        <w:rPr>
          <w:sz w:val="20"/>
          <w:szCs w:val="20"/>
        </w:rPr>
        <w:t xml:space="preserve">~ </w:t>
      </w:r>
      <w:r w:rsidRPr="00555182">
        <w:rPr>
          <w:sz w:val="20"/>
          <w:szCs w:val="20"/>
        </w:rPr>
        <w:t>5–6), but these thresholds will be interpreted as evidence against a null hypothesis rather than as measures of effect size. Loci exceeding such thresholds will be evaluated further using effect-size–based metrics (e.g. FST, coverage differences) to assess their biological relevance.</w:t>
      </w:r>
    </w:p>
    <w:sectPr w:rsidR="00555182" w:rsidRPr="005551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7BB"/>
    <w:multiLevelType w:val="hybridMultilevel"/>
    <w:tmpl w:val="2D9ADAE0"/>
    <w:lvl w:ilvl="0" w:tplc="913891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611CFC"/>
    <w:multiLevelType w:val="hybridMultilevel"/>
    <w:tmpl w:val="23A4CA76"/>
    <w:lvl w:ilvl="0" w:tplc="887A31F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5A57D2"/>
    <w:multiLevelType w:val="hybridMultilevel"/>
    <w:tmpl w:val="24542606"/>
    <w:lvl w:ilvl="0" w:tplc="A30A6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699848">
    <w:abstractNumId w:val="0"/>
  </w:num>
  <w:num w:numId="2" w16cid:durableId="2899523">
    <w:abstractNumId w:val="1"/>
  </w:num>
  <w:num w:numId="3" w16cid:durableId="96196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E4"/>
    <w:rsid w:val="00064209"/>
    <w:rsid w:val="000A759D"/>
    <w:rsid w:val="000C0A31"/>
    <w:rsid w:val="000C463B"/>
    <w:rsid w:val="000F2155"/>
    <w:rsid w:val="002247A8"/>
    <w:rsid w:val="003A5861"/>
    <w:rsid w:val="004500C2"/>
    <w:rsid w:val="00527A69"/>
    <w:rsid w:val="00555182"/>
    <w:rsid w:val="00561292"/>
    <w:rsid w:val="005C5A28"/>
    <w:rsid w:val="00601625"/>
    <w:rsid w:val="00661548"/>
    <w:rsid w:val="006760E4"/>
    <w:rsid w:val="007D1337"/>
    <w:rsid w:val="0096075B"/>
    <w:rsid w:val="00993EE8"/>
    <w:rsid w:val="009D6348"/>
    <w:rsid w:val="00A5272D"/>
    <w:rsid w:val="00AD50F0"/>
    <w:rsid w:val="00B871D2"/>
    <w:rsid w:val="00BC6B4B"/>
    <w:rsid w:val="00C04FAD"/>
    <w:rsid w:val="00C73833"/>
    <w:rsid w:val="00D11D08"/>
    <w:rsid w:val="00E60D87"/>
    <w:rsid w:val="00F94D0B"/>
    <w:rsid w:val="00FB5B73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4EA8"/>
  <w15:chartTrackingRefBased/>
  <w15:docId w15:val="{2F5AD39F-B504-489A-ABB1-F311A724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2638</TotalTime>
  <Pages>2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Bsata</dc:creator>
  <cp:keywords/>
  <dc:description/>
  <cp:lastModifiedBy>Yasmin Bsata</cp:lastModifiedBy>
  <cp:revision>7</cp:revision>
  <dcterms:created xsi:type="dcterms:W3CDTF">2026-02-04T20:34:00Z</dcterms:created>
  <dcterms:modified xsi:type="dcterms:W3CDTF">2026-02-06T23:38:00Z</dcterms:modified>
</cp:coreProperties>
</file>