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23 de Novembre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Nova manera de moure el mar: quaternions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Il·luminació basada en Phong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Quin tipus de música afegim al videojoc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 que la càmera segueixi el vaixell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</w:pPr>
      <w:r w:rsidDel="00000000" w:rsidR="00000000" w:rsidRPr="00000000">
        <w:rPr>
          <w:rtl w:val="0"/>
        </w:rPr>
        <w:t xml:space="preserve">Nova manera de fer els quaternions amb un codi MatLab proporcionat pel Felipe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Mirem que la il·luminació estigui basada en la il·luminació Phong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La música ha de ser típica de videojoc amb el soroll del motor del vaixell i el mar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Fem que la càmera segueixi el vaixell per tal de tenir aquell moviment gradual i típic de videojoc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Entendre el codi de MatLab de quaternions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Aplicar-lo al nostre codi (codi quaterions)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Canviar codi de il·luminació per tal que estigui basat 100% en Phong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Mirar i cercar informació sobre com afegir la música al videojoc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Moviemnt càmera segons el vaixell</w:t>
      </w:r>
    </w:p>
    <w:p w:rsidR="00000000" w:rsidDel="00000000" w:rsidP="00000000" w:rsidRDefault="00000000" w:rsidRPr="00000000" w14:paraId="0000004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40"/>
        <w:gridCol w:w="1725"/>
        <w:gridCol w:w="1365"/>
        <w:gridCol w:w="1425"/>
        <w:gridCol w:w="1260"/>
        <w:gridCol w:w="2415"/>
        <w:tblGridChange w:id="0">
          <w:tblGrid>
            <w:gridCol w:w="1740"/>
            <w:gridCol w:w="1725"/>
            <w:gridCol w:w="1365"/>
            <w:gridCol w:w="1425"/>
            <w:gridCol w:w="1260"/>
            <w:gridCol w:w="2415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Entendre codi Felipe MatLab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Codi MatLab quaternions entender-ho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vaixell: Quaternions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Apliquem quaternions per tal de poder simular el moviment del vaixell 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Nous SkyBox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dos SkyBox intermedis per tal de fer gradual el canvi interactiu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SkyBox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els SkyBox es vagin canviant a mesura que apretem una tecla igual que en l’il·luminació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la càmera canviï la seva perspectiva segons una tecla o una altra.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Canviar la il·luminació del vaixell per tal que estigui basada en Phong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seguint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segueixi 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13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lf6JZu/Dn6vkf4h8qsYUynQrg==">CgMxLjA4AHIhMURkODZsaEFrclExS0pRX2MyTFV1REh3djBCeU10ZndZ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