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2E74B5"/>
          <w:sz w:val="22"/>
        </w:rPr>
        <w:t>MÉMOIRE DE FIN D’ÉTUDES</w:t>
      </w:r>
    </w:p>
    <w:p>
      <w:pPr>
        <w:spacing w:before="320" w:after="200"/>
        <w:jc w:val="center"/>
      </w:pPr>
      <w:r>
        <w:rPr>
          <w:rFonts w:ascii="Calibri" w:hAnsi="Calibri"/>
          <w:b/>
          <w:color w:val="0B2545"/>
          <w:sz w:val="48"/>
        </w:rPr>
        <w:t>Conception, développement et déploiement d’une plateforme SaaS multi-tenant pour la gestion de marketplaces bancaires avec mise en place d’un pipeline CI/CD</w:t>
      </w:r>
    </w:p>
    <w:p>
      <w:pPr>
        <w:spacing w:before="400"/>
        <w:jc w:val="center"/>
      </w:pPr>
      <w:r>
        <w:rPr>
          <w:rFonts w:ascii="Calibri" w:hAnsi="Calibri"/>
          <w:b w:val="0"/>
          <w:color w:val="1F4D78"/>
          <w:sz w:val="30"/>
        </w:rPr>
        <w:t>Chapitres 4 et 5 : réalisation fonctionnelle et parcours métier</w:t>
      </w:r>
    </w:p>
    <w:p/>
    <w:p/>
    <w:p/>
    <w:p/>
    <w:p/>
    <w:p/>
    <w:p/>
    <w:p>
      <w:pPr>
        <w:jc w:val="center"/>
      </w:pPr>
      <w:r>
        <w:rPr>
          <w:rFonts w:ascii="Calibri" w:hAnsi="Calibri"/>
          <w:i/>
          <w:color w:val="5B6573"/>
          <w:sz w:val="22"/>
        </w:rPr>
        <w:t>Plateforme Matchia | Version documentaire</w:t>
      </w:r>
    </w:p>
    <w:p>
      <w:r>
        <w:br w:type="page"/>
      </w:r>
    </w:p>
    <w:p>
      <w:pPr>
        <w:pStyle w:val="Heading1"/>
      </w:pPr>
      <w:r>
        <w:rPr>
          <w:rFonts w:ascii="Calibri" w:hAnsi="Calibri"/>
        </w:rPr>
        <w:t>Chapitre 4 — Réalisation du SaaS bancaire : onboarding, marketplace, abonnement et paiement</w:t>
      </w:r>
    </w:p>
    <w:p>
      <w:r>
        <w:rPr>
          <w:rFonts w:ascii="Calibri" w:hAnsi="Calibri"/>
        </w:rPr>
        <w:t>Ce chapitre présente la réalisation fonctionnelle du modèle SaaS de Matchia. Une même application permet d’instancier plusieurs marketplaces bancaires configurables, sans branchement du code par banque. Le fonctionnement complet relie la demande initiale, le contrôle réalisé depuis le back-office SaaS, le paiement sécurisé, l’activation du tenant puis l’accès au back-office Banque. Cette chaîne rend visible la dépendance essentielle entre abonnement valide, paiement confirmé et disponibilité effective des services.</w:t>
      </w:r>
    </w:p>
    <w:p>
      <w:pPr>
        <w:pStyle w:val="Heading2"/>
      </w:pPr>
      <w:r>
        <w:rPr>
          <w:rFonts w:ascii="Calibri" w:hAnsi="Calibri"/>
        </w:rPr>
        <w:t>4.1 Organisation de l’interface et prise en compte du tenant</w:t>
      </w:r>
    </w:p>
    <w:p>
      <w:r>
        <w:rPr>
          <w:rFonts w:ascii="Calibri" w:hAnsi="Calibri"/>
        </w:rPr>
        <w:t>L’interface React est organisée par espaces fonctionnels. Les routes publiques donnent accès à l’inscription, à la découverte des banques et aux stores. Les routes protégées isolent le back-office SaaS, l’espace banque, l’espace concessionnaire et l’espace client. Cette organisation évite qu’un utilisateur connecté à une banque visualise ou administre les ressources d’un autre tenant.</w:t>
      </w:r>
    </w:p>
    <w:p>
      <w:pPr>
        <w:pStyle w:val="ListBullet"/>
      </w:pPr>
      <w:r>
        <w:rPr>
          <w:rFonts w:ascii="Calibri" w:hAnsi="Calibri"/>
        </w:rPr>
        <w:t>Le layout SaaS centralise le pilotage de la plateforme, des banques, des offres, des demandes et de l’audit.</w:t>
      </w:r>
    </w:p>
    <w:p>
      <w:pPr>
        <w:pStyle w:val="ListBullet"/>
      </w:pPr>
      <w:r>
        <w:rPr>
          <w:rFonts w:ascii="Calibri" w:hAnsi="Calibri"/>
        </w:rPr>
        <w:t>Le layout banque restreint les écrans aux utilisateurs, stores, modules, contenus, produits, concessionnaires, financements, abonnements, branding et paramètres de la banque connectée.</w:t>
      </w:r>
    </w:p>
    <w:p>
      <w:pPr>
        <w:pStyle w:val="ListBullet"/>
      </w:pPr>
      <w:r>
        <w:rPr>
          <w:rFonts w:ascii="Calibri" w:hAnsi="Calibri"/>
        </w:rPr>
        <w:t>Le layout marketplace reprend le contexte du tenant depuis l’URL et adapte l’en-tête, les couleurs, les bannières, les stores et les modules visibles.</w:t>
      </w:r>
    </w:p>
    <w:p>
      <w:pPr>
        <w:pStyle w:val="ListBullet"/>
      </w:pPr>
      <w:r>
        <w:rPr>
          <w:rFonts w:ascii="Calibri" w:hAnsi="Calibri"/>
        </w:rPr>
        <w:t>Le layout concessionnaire concentre les partenariats, contrats, produits, publications et demandes de financement qui lui sont affectées.</w:t>
      </w:r>
    </w:p>
    <w:p>
      <w:r>
        <w:rPr>
          <w:rFonts w:ascii="Calibri" w:hAnsi="Calibri"/>
        </w:rPr>
        <w:t>Le contexte tenant est transporté par le slug de marketplace et synchronisé côté client afin de charger les ressources de la banque concernée. Le catalogue est donc commun au niveau SaaS, tandis que les associations de stores, de modules, de paramètres et de visibilité sont propres à chaque marketplace. Cette méthode réduit les duplications tout en garantissant une expérience distincte par banque.</w:t>
      </w:r>
    </w:p>
    <w:p>
      <w:pPr>
        <w:spacing w:before="120" w:after="60"/>
        <w:jc w:val="center"/>
      </w:pPr>
      <w:r>
        <w:drawing>
          <wp:inline xmlns:a="http://schemas.openxmlformats.org/drawingml/2006/main" xmlns:pic="http://schemas.openxmlformats.org/drawingml/2006/picture">
            <wp:extent cx="5715000" cy="2159000"/>
            <wp:docPr id="1" name="Picture 1" descr="Figure 4.1 — Activité de configuration d’un store dans une marketplace." title="Figure 4.1 — Activité de configuration d’un store dans une marketplace."/>
            <wp:cNvGraphicFramePr>
              <a:graphicFrameLocks noChangeAspect="1"/>
            </wp:cNvGraphicFramePr>
            <a:graphic>
              <a:graphicData uri="http://schemas.openxmlformats.org/drawingml/2006/picture">
                <pic:pic>
                  <pic:nvPicPr>
                    <pic:cNvPr id="0" name="fig_4_2_configuration_store.png"/>
                    <pic:cNvPicPr/>
                  </pic:nvPicPr>
                  <pic:blipFill>
                    <a:blip r:embed="rId11"/>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4.1 — Activité de configuration d’un store dans une marketplace.</w:t>
      </w:r>
    </w:p>
    <w:p>
      <w:r>
        <w:rPr>
          <w:rFonts w:ascii="Calibri" w:hAnsi="Calibri"/>
        </w:rPr>
        <w:t>La figure 4.1 illustre cette séparation : un store ne devient visible que lorsque la banque l’a sélectionné, configuré et publié. Les modules sont associés au store dans le contexte de la marketplace ; ils peuvent ainsi être activés ou masqués sans modification du code de l’application commune.</w:t>
      </w:r>
    </w:p>
    <w:p>
      <w:pPr>
        <w:pStyle w:val="Heading2"/>
      </w:pPr>
      <w:r>
        <w:rPr>
          <w:rFonts w:ascii="Calibri" w:hAnsi="Calibri"/>
        </w:rPr>
        <w:t>4.2 Back-office SaaS : demande, paiement et activation de la marketplace</w:t>
      </w:r>
    </w:p>
    <w:p>
      <w:r>
        <w:rPr>
          <w:rFonts w:ascii="Calibri" w:hAnsi="Calibri"/>
        </w:rPr>
        <w:t>Le back-office SaaS orchestre le cycle de création d’une marketplace bancaire. Ce cycle ne se limite pas à l’enregistrement d’une banque : il coordonne la collecte de la demande, sa vérification, la notification de la décision, la souscription, le paiement, l’activation technique et la remise des accès au responsable bancaire. L’automatisation de ces transitions réduit les tâches manuelles répétitives et garantit que les droits ne sont ouverts qu’après satisfaction des prérequis commerciaux et techniques.</w:t>
      </w:r>
    </w:p>
    <w:p>
      <w:pPr>
        <w:pStyle w:val="Heading3"/>
      </w:pPr>
      <w:r>
        <w:rPr>
          <w:rFonts w:ascii="Calibri" w:hAnsi="Calibri"/>
        </w:rPr>
        <w:t>4.2.1 Remplissage et soumission de la demande de marketplace</w:t>
      </w:r>
    </w:p>
    <w:p>
      <w:r>
        <w:rPr>
          <w:rFonts w:ascii="Calibri" w:hAnsi="Calibri"/>
        </w:rPr>
        <w:t>Le parcours commence côté banque par le remplissage d’un formulaire de demande de marketplace. Le demandeur renseigne les informations institutionnelles, les coordonnées du contact, le nom et le slug souhaités pour la marketplace, les éléments de personnalisation ainsi que les stores et modules demandés. La soumission crée un dossier à l’état en attente et génère une notification destinée à l’administrateur SaaS. À ce stade, aucun accès au back-office Banque et aucune marketplace publique ne sont encore actifs.</w:t>
      </w:r>
    </w:p>
    <w:p>
      <w:pPr>
        <w:pStyle w:val="Heading3"/>
      </w:pPr>
      <w:r>
        <w:rPr>
          <w:rFonts w:ascii="Calibri" w:hAnsi="Calibri"/>
        </w:rPr>
        <w:t>4.2.2 Traitement SaaS, notifications et décision</w:t>
      </w:r>
    </w:p>
    <w:p>
      <w:r>
        <w:rPr>
          <w:rFonts w:ascii="Calibri" w:hAnsi="Calibri"/>
        </w:rPr>
        <w:t>L’administrateur SaaS consulte la demande depuis une file de traitement. Il vérifie les informations de la banque, la cohérence de la marketplace proposée, la configuration des stores et modules ainsi que les éléments commerciaux associés. Les actions d’approbation ou de refus sont tracées et accompagnées de notifications. Un refus maintient la marketplace inactive et peut être communiqué avec un motif ; une approbation prépare la souscription et déclenche l’envoi de l’email de paiement.</w:t>
      </w:r>
    </w:p>
    <w:p>
      <w:r>
        <w:rPr>
          <w:rFonts w:ascii="Calibri" w:hAnsi="Calibri"/>
        </w:rPr>
        <w:t>Le tableau de bord consolidé donne une vision immédiate des banques actives, demandes en attente, utilisateurs, stores activés, revenus mensuels, distribution des marketplaces et alertes d’échéance. Il permet de prioriser les actions et de suivre le résultat des validations sans consulter séparément chaque tenant.</w:t>
      </w:r>
    </w:p>
    <w:p>
      <w:pPr>
        <w:spacing w:before="120" w:after="60"/>
        <w:jc w:val="center"/>
      </w:pPr>
      <w:r>
        <w:drawing>
          <wp:inline xmlns:a="http://schemas.openxmlformats.org/drawingml/2006/main" xmlns:pic="http://schemas.openxmlformats.org/drawingml/2006/picture">
            <wp:extent cx="5715000" cy="4256484"/>
            <wp:docPr id="2" name="Picture 2" descr="Figure 4.2 — Tableau de bord SaaS : indicateurs, alertes d’abonnement et demandes en attente." title="Figure 4.2 — Tableau de bord SaaS : indicateurs, alertes d’abonnement et demandes en attente."/>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indicateurs, alertes d’abonnement et demandes en attente.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Gestion des demandes bancaires</w:t>
            </w:r>
          </w:p>
          <w:p>
            <w:pPr>
              <w:jc w:val="center"/>
            </w:pPr>
            <w:r>
              <w:rPr>
                <w:rFonts w:ascii="Calibri" w:hAnsi="Calibri"/>
                <w:i/>
                <w:color w:val="5B6573"/>
                <w:sz w:val="18"/>
              </w:rPr>
              <w:t>Insérer ici la liste des demandes et la fenêtre de détail après anonymisation des coordonnées de contact.</w:t>
            </w:r>
          </w:p>
        </w:tc>
      </w:tr>
    </w:tbl>
    <w:p>
      <w:pPr>
        <w:spacing w:after="40"/>
      </w:pPr>
    </w:p>
    <w:p>
      <w:pPr>
        <w:pStyle w:val="Caption"/>
        <w:jc w:val="center"/>
      </w:pPr>
      <w:r>
        <w:rPr>
          <w:rFonts w:ascii="Calibri" w:hAnsi="Calibri"/>
          <w:i/>
          <w:color w:val="5B6573"/>
          <w:sz w:val="18"/>
        </w:rPr>
        <w:t>Capture 4.1 - Gestion des demandes bancaires.</w:t>
      </w:r>
    </w:p>
    <w:p>
      <w:pPr>
        <w:pStyle w:val="Heading3"/>
      </w:pPr>
      <w:r>
        <w:rPr>
          <w:rFonts w:ascii="Calibri" w:hAnsi="Calibri"/>
        </w:rPr>
        <w:t>4.2.3 Email de paiement, paiement et validation</w:t>
      </w:r>
    </w:p>
    <w:p>
      <w:r>
        <w:rPr>
          <w:rFonts w:ascii="Calibri" w:hAnsi="Calibri"/>
        </w:rPr>
        <w:t>À l’issue de l’approbation, l’utilisateur demandeur reçoit par email un lien de paiement sécurisé. Cet email constitue le point d’entrée du règlement de l’abonnement correspondant aux stores, modules et options validés. L’utilisateur est redirigé vers le parcours de paiement ; la transaction est créée et suivie par le back-end, qui conserve la référence de paiement utile sans exposer de secret au navigateur.</w:t>
      </w:r>
    </w:p>
    <w:p>
      <w:r>
        <w:rPr>
          <w:rFonts w:ascii="Calibri" w:hAnsi="Calibri"/>
        </w:rPr>
        <w:t>Les statuts distinguent le traitement de la demande de celui du paiement. Une demande peut être en attente, approuvée, refusée ou annulée. Le paiement peut être en attente, payé, échoué ou annulé. Une approbation SaaS ne suffit donc jamais à activer les services : le paiement doit être confirmé par le serveur. Cette distinction permet de gérer les abandons, les erreurs de paiement et les relances sans ouvrir prématurément la marketplace.</w:t>
      </w:r>
    </w:p>
    <w:tbl>
      <w:tblPr>
        <w:tblStyle w:val="TableGrid"/>
        <w:tblW w:type="dxa" w:w="9360"/>
        <w:jc w:val="left"/>
        <w:tblLayout w:type="fixed"/>
        <w:tblLook w:firstColumn="1" w:firstRow="1" w:lastColumn="0" w:lastRow="0" w:noHBand="0" w:noVBand="1" w:val="04A0"/>
        <w:tblInd w:w="120" w:type="dxa"/>
      </w:tblPr>
      <w:tblGrid>
        <w:gridCol w:w="1900"/>
        <w:gridCol w:w="2800"/>
        <w:gridCol w:w="46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Étape</w:t>
            </w:r>
          </w:p>
        </w:tc>
        <w:tc>
          <w:tcPr>
            <w:tcW w:type="dxa" w:w="2800"/>
            <w:tcMar>
              <w:top w:w="80" w:type="dxa"/>
              <w:start w:w="120" w:type="dxa"/>
              <w:bottom w:w="80" w:type="dxa"/>
              <w:end w:w="120" w:type="dxa"/>
            </w:tcMar>
            <w:shd w:fill="F4F6F9"/>
          </w:tcPr>
          <w:p>
            <w:r>
              <w:rPr>
                <w:rFonts w:ascii="Calibri" w:hAnsi="Calibri"/>
                <w:b/>
                <w:color w:val="202124"/>
                <w:sz w:val="18"/>
              </w:rPr>
              <w:t>Statut représentatif</w:t>
            </w:r>
          </w:p>
        </w:tc>
        <w:tc>
          <w:tcPr>
            <w:tcW w:type="dxa" w:w="4660"/>
            <w:tcMar>
              <w:top w:w="80" w:type="dxa"/>
              <w:start w:w="120" w:type="dxa"/>
              <w:bottom w:w="80" w:type="dxa"/>
              <w:end w:w="120" w:type="dxa"/>
            </w:tcMar>
            <w:shd w:fill="F4F6F9"/>
          </w:tcPr>
          <w:p>
            <w:r>
              <w:rPr>
                <w:rFonts w:ascii="Calibri" w:hAnsi="Calibri"/>
                <w:b/>
                <w:color w:val="202124"/>
                <w:sz w:val="18"/>
              </w:rPr>
              <w:t>Conséquence fonctionnelle</w:t>
            </w:r>
          </w:p>
        </w:tc>
      </w:tr>
      <w:tr>
        <w:tc>
          <w:tcPr>
            <w:tcW w:type="dxa" w:w="1900"/>
          </w:tcPr>
          <w:p>
            <w:r>
              <w:rPr>
                <w:rFonts w:ascii="Calibri" w:hAnsi="Calibri"/>
                <w:color w:val="202124"/>
                <w:sz w:val="18"/>
              </w:rPr>
              <w:t>Demande soumise</w:t>
            </w:r>
          </w:p>
        </w:tc>
        <w:tc>
          <w:tcPr>
            <w:tcW w:type="dxa" w:w="2800"/>
          </w:tcPr>
          <w:p>
            <w:r>
              <w:rPr>
                <w:rFonts w:ascii="Calibri" w:hAnsi="Calibri"/>
                <w:color w:val="202124"/>
                <w:sz w:val="18"/>
              </w:rPr>
              <w:t>PENDING</w:t>
            </w:r>
          </w:p>
        </w:tc>
        <w:tc>
          <w:tcPr>
            <w:tcW w:type="dxa" w:w="4660"/>
          </w:tcPr>
          <w:p>
            <w:r>
              <w:rPr>
                <w:rFonts w:ascii="Calibri" w:hAnsi="Calibri"/>
                <w:color w:val="202124"/>
                <w:sz w:val="18"/>
              </w:rPr>
              <w:t>Dossier visible dans la file SaaS ; marketplace inactive.</w:t>
            </w:r>
          </w:p>
        </w:tc>
      </w:tr>
      <w:tr>
        <w:tc>
          <w:tcPr>
            <w:tcW w:type="dxa" w:w="1900"/>
          </w:tcPr>
          <w:p>
            <w:r>
              <w:rPr>
                <w:rFonts w:ascii="Calibri" w:hAnsi="Calibri"/>
                <w:color w:val="202124"/>
                <w:sz w:val="18"/>
              </w:rPr>
              <w:t>Décision SaaS</w:t>
            </w:r>
          </w:p>
        </w:tc>
        <w:tc>
          <w:tcPr>
            <w:tcW w:type="dxa" w:w="2800"/>
          </w:tcPr>
          <w:p>
            <w:r>
              <w:rPr>
                <w:rFonts w:ascii="Calibri" w:hAnsi="Calibri"/>
                <w:color w:val="202124"/>
                <w:sz w:val="18"/>
              </w:rPr>
              <w:t>APPROVED / REJECTED</w:t>
            </w:r>
          </w:p>
        </w:tc>
        <w:tc>
          <w:tcPr>
            <w:tcW w:type="dxa" w:w="4660"/>
          </w:tcPr>
          <w:p>
            <w:r>
              <w:rPr>
                <w:rFonts w:ascii="Calibri" w:hAnsi="Calibri"/>
                <w:color w:val="202124"/>
                <w:sz w:val="18"/>
              </w:rPr>
              <w:t>En cas d’approbation, email de paiement ; en cas de refus, aucune souscription active.</w:t>
            </w:r>
          </w:p>
        </w:tc>
      </w:tr>
      <w:tr>
        <w:tc>
          <w:tcPr>
            <w:tcW w:type="dxa" w:w="1900"/>
          </w:tcPr>
          <w:p>
            <w:r>
              <w:rPr>
                <w:rFonts w:ascii="Calibri" w:hAnsi="Calibri"/>
                <w:color w:val="202124"/>
                <w:sz w:val="18"/>
              </w:rPr>
              <w:t>Paiement</w:t>
            </w:r>
          </w:p>
        </w:tc>
        <w:tc>
          <w:tcPr>
            <w:tcW w:type="dxa" w:w="2800"/>
          </w:tcPr>
          <w:p>
            <w:r>
              <w:rPr>
                <w:rFonts w:ascii="Calibri" w:hAnsi="Calibri"/>
                <w:color w:val="202124"/>
                <w:sz w:val="18"/>
              </w:rPr>
              <w:t>PENDING / PAID / FAILED / CANCELLED</w:t>
            </w:r>
          </w:p>
        </w:tc>
        <w:tc>
          <w:tcPr>
            <w:tcW w:type="dxa" w:w="4660"/>
          </w:tcPr>
          <w:p>
            <w:r>
              <w:rPr>
                <w:rFonts w:ascii="Calibri" w:hAnsi="Calibri"/>
                <w:color w:val="202124"/>
                <w:sz w:val="18"/>
              </w:rPr>
              <w:t>PAID est le seul statut qui autorise l’activation ; les autres états conservent les services inactifs.</w:t>
            </w:r>
          </w:p>
        </w:tc>
      </w:tr>
      <w:tr>
        <w:tc>
          <w:tcPr>
            <w:tcW w:type="dxa" w:w="1900"/>
          </w:tcPr>
          <w:p>
            <w:r>
              <w:rPr>
                <w:rFonts w:ascii="Calibri" w:hAnsi="Calibri"/>
                <w:color w:val="202124"/>
                <w:sz w:val="18"/>
              </w:rPr>
              <w:t>Abonnement</w:t>
            </w:r>
          </w:p>
        </w:tc>
        <w:tc>
          <w:tcPr>
            <w:tcW w:type="dxa" w:w="2800"/>
          </w:tcPr>
          <w:p>
            <w:r>
              <w:rPr>
                <w:rFonts w:ascii="Calibri" w:hAnsi="Calibri"/>
                <w:color w:val="202124"/>
                <w:sz w:val="18"/>
              </w:rPr>
              <w:t>PENDING_PAYMENT / ACTIVE / EXPIRED / PENDING_RENEWAL</w:t>
            </w:r>
          </w:p>
        </w:tc>
        <w:tc>
          <w:tcPr>
            <w:tcW w:type="dxa" w:w="4660"/>
          </w:tcPr>
          <w:p>
            <w:r>
              <w:rPr>
                <w:rFonts w:ascii="Calibri" w:hAnsi="Calibri"/>
                <w:color w:val="202124"/>
                <w:sz w:val="18"/>
              </w:rPr>
              <w:t>L’état ACTIVE conditionne les accès et la disponibilité de la marketplace.</w:t>
            </w:r>
          </w:p>
        </w:tc>
      </w:tr>
    </w:tbl>
    <w:p>
      <w:pPr>
        <w:spacing w:after="60"/>
      </w:pPr>
    </w:p>
    <w:p>
      <w:pPr>
        <w:pStyle w:val="Heading3"/>
      </w:pPr>
      <w:r>
        <w:rPr>
          <w:rFonts w:ascii="Calibri" w:hAnsi="Calibri"/>
        </w:rPr>
        <w:t>4.2.4 Activation automatisée et remise des accès Banque</w:t>
      </w:r>
    </w:p>
    <w:p>
      <w:r>
        <w:rPr>
          <w:rFonts w:ascii="Calibri" w:hAnsi="Calibri"/>
        </w:rPr>
        <w:t>Après validation du paiement, le back-end active la marketplace et l’abonnement associé. Le tenant devient disponible avec sa configuration initiale, et les services souscrits sont rendus accessibles. Un email distinct est ensuite adressé à l’administrateur de la banque avec les identifiants de connexion au back-office Banque (login et mot de passe initial). Cet envoi clôt le parcours d’onboarding et évite une transmission manuelle d’accès par l’équipe SaaS.</w:t>
      </w:r>
    </w:p>
    <w:p>
      <w:r>
        <w:rPr>
          <w:rFonts w:ascii="Calibri" w:hAnsi="Calibri"/>
        </w:rPr>
        <w:t>Le workflow global est donc le suivant : Soumission de la demande → Traitement SaaS → Approbation → Notification / email de paiement → Paiement → Validation du paiement → Activation de la marketplace → Envoi des identifiants du back-office Banque. Les notifications et emails servent de liens de continuité entre les étapes, tandis que les statuts empêchent tout saut de phase.</w:t>
      </w:r>
    </w:p>
    <w:p>
      <w:pPr>
        <w:spacing w:before="120" w:after="60"/>
        <w:jc w:val="center"/>
      </w:pPr>
      <w:r>
        <w:drawing>
          <wp:inline xmlns:a="http://schemas.openxmlformats.org/drawingml/2006/main" xmlns:pic="http://schemas.openxmlformats.org/drawingml/2006/picture">
            <wp:extent cx="5715000" cy="4000500"/>
            <wp:docPr id="3" name="Picture 3" descr="Figure 4.3 — Diagramme de séquence : soumission, traitement SaaS, paiement, activation et envoi des identifiants Banque." title="Figure 4.3 — Diagramme de séquence : soumission, traitement SaaS, paiement, activation et envoi des identifiants Banque."/>
            <wp:cNvGraphicFramePr>
              <a:graphicFrameLocks noChangeAspect="1"/>
            </wp:cNvGraphicFramePr>
            <a:graphic>
              <a:graphicData uri="http://schemas.openxmlformats.org/drawingml/2006/picture">
                <pic:pic>
                  <pic:nvPicPr>
                    <pic:cNvPr id="0" name="fig_4_1_onboarding_paiement.png"/>
                    <pic:cNvPicPr/>
                  </pic:nvPicPr>
                  <pic:blipFill>
                    <a:blip r:embed="rId13"/>
                    <a:stretch>
                      <a:fillRect/>
                    </a:stretch>
                  </pic:blipFill>
                  <pic:spPr>
                    <a:xfrm>
                      <a:off x="0" y="0"/>
                      <a:ext cx="5715000" cy="4000500"/>
                    </a:xfrm>
                    <a:prstGeom prst="rect"/>
                  </pic:spPr>
                </pic:pic>
              </a:graphicData>
            </a:graphic>
          </wp:inline>
        </w:drawing>
      </w:r>
    </w:p>
    <w:p>
      <w:pPr>
        <w:pStyle w:val="Caption"/>
        <w:jc w:val="center"/>
      </w:pPr>
      <w:r>
        <w:rPr>
          <w:rFonts w:ascii="Calibri" w:hAnsi="Calibri"/>
          <w:i/>
          <w:color w:val="5B6573"/>
          <w:sz w:val="18"/>
        </w:rPr>
        <w:t>Figure 4.3 — Diagramme de séquence : soumission, traitement SaaS, paiement, activation et envoi des identifiants Banque.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Email de paiement de la marketplace</w:t>
            </w:r>
          </w:p>
          <w:p>
            <w:pPr>
              <w:jc w:val="center"/>
            </w:pPr>
            <w:r>
              <w:rPr>
                <w:rFonts w:ascii="Calibri" w:hAnsi="Calibri"/>
                <w:i/>
                <w:color w:val="5B6573"/>
                <w:sz w:val="18"/>
              </w:rPr>
              <w:t>Insérer l’email d’approbation contenant le lien de paiement après anonymisation de l’adresse destinataire et de tout identifiant technique.</w:t>
            </w:r>
          </w:p>
        </w:tc>
      </w:tr>
    </w:tbl>
    <w:p>
      <w:pPr>
        <w:spacing w:after="40"/>
      </w:pPr>
    </w:p>
    <w:p>
      <w:pPr>
        <w:pStyle w:val="Caption"/>
        <w:jc w:val="center"/>
      </w:pPr>
      <w:r>
        <w:rPr>
          <w:rFonts w:ascii="Calibri" w:hAnsi="Calibri"/>
          <w:i/>
          <w:color w:val="5B6573"/>
          <w:sz w:val="18"/>
        </w:rPr>
        <w:t>Capture 4.2 - Email de paiement de la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Email d’activation et identifiants du Back-office Banque</w:t>
            </w:r>
          </w:p>
          <w:p>
            <w:pPr>
              <w:jc w:val="center"/>
            </w:pPr>
            <w:r>
              <w:rPr>
                <w:rFonts w:ascii="Calibri" w:hAnsi="Calibri"/>
                <w:i/>
                <w:color w:val="5B6573"/>
                <w:sz w:val="18"/>
              </w:rPr>
              <w:t>Insérer l’email de création du compte Banque en masquant le login, le mot de passe et les données personnelles.</w:t>
            </w:r>
          </w:p>
        </w:tc>
      </w:tr>
    </w:tbl>
    <w:p>
      <w:pPr>
        <w:spacing w:after="40"/>
      </w:pPr>
    </w:p>
    <w:p>
      <w:pPr>
        <w:pStyle w:val="Caption"/>
        <w:jc w:val="center"/>
      </w:pPr>
      <w:r>
        <w:rPr>
          <w:rFonts w:ascii="Calibri" w:hAnsi="Calibri"/>
          <w:i/>
          <w:color w:val="5B6573"/>
          <w:sz w:val="18"/>
        </w:rPr>
        <w:t>Capture 4.3 - Email d’activation et identifiants du Back-office Banque.</w:t>
      </w:r>
    </w:p>
    <w:p>
      <w:pPr>
        <w:pStyle w:val="Heading2"/>
      </w:pPr>
      <w:r>
        <w:rPr>
          <w:rFonts w:ascii="Calibri" w:hAnsi="Calibri"/>
        </w:rPr>
        <w:t>4.3 Back-office Banque : configuration après activation</w:t>
      </w:r>
    </w:p>
    <w:p>
      <w:r>
        <w:rPr>
          <w:rFonts w:ascii="Calibri" w:hAnsi="Calibri"/>
        </w:rPr>
        <w:t>Prérequis : Marketplace active et abonnement valide. L’accès au back-office Banque est accordé à l’administrateur bancaire après la validation du paiement et l’activation du tenant. Tant que l’abonnement n’est pas actif, les actions de configuration et la mise à disposition des services restent bloquées. Cette règle garantit que l’espace bancaire, la marketplace publique et les fonctionnalités souscrites partagent le même état de référence.</w:t>
      </w:r>
    </w:p>
    <w:p>
      <w:r>
        <w:rPr>
          <w:rFonts w:ascii="Calibri" w:hAnsi="Calibri"/>
        </w:rPr>
        <w:t>Une fois connecté, l’administrateur Banque configure son espace sans modifier l’application commune. Il gère les utilisateurs de la banque, les stores affectés, les modules disponibles, le contenu de la marketplace, le branding, les paramètres et les offres. Les données globales restent administrées par le SaaS ; les données de présentation et de disponibilité sont pilotées par le tenant bancaire.</w:t>
      </w:r>
    </w:p>
    <w:p>
      <w:pPr>
        <w:pStyle w:val="Heading3"/>
      </w:pPr>
      <w:r>
        <w:rPr>
          <w:rFonts w:ascii="Calibri" w:hAnsi="Calibri"/>
        </w:rPr>
        <w:t>4.3.1 Configuration de la marketplace bancaire</w:t>
      </w:r>
    </w:p>
    <w:p>
      <w:r>
        <w:rPr>
          <w:rFonts w:ascii="Calibri" w:hAnsi="Calibri"/>
        </w:rPr>
        <w:t>La configuration couvre la gestion du contenu, la personnalisation visuelle, les bannières, les éléments graphiques et les paramètres propres à la banque. L’administrateur peut adapter le logo, la palette, les textes, les bannières et les contenus affichés dans les différents stores. Le résultat est une marketplace cohérente avec l’identité de la banque tout en conservant les composants réutilisables de Matchia.</w:t>
      </w:r>
    </w:p>
    <w:p>
      <w:pPr>
        <w:pStyle w:val="Heading3"/>
      </w:pPr>
      <w:r>
        <w:rPr>
          <w:rFonts w:ascii="Calibri" w:hAnsi="Calibri"/>
        </w:rPr>
        <w:t>4.3.2 Stores, modules et paramètres spécifiques</w:t>
      </w:r>
    </w:p>
    <w:p>
      <w:r>
        <w:rPr>
          <w:rFonts w:ascii="Calibri" w:hAnsi="Calibri"/>
        </w:rPr>
        <w:t>L’administrateur Banque gère les stores qui lui sont affectés, puis active ou désactive les modules disponibles dans chacun d’eux. Les paramètres spécifiques de chaque module peuvent être ajustés afin de personnaliser les fonctionnalités selon le store : un comparateur, un simulateur, les contenus associés ou les règles de présentation ne sont affichés que lorsqu’ils ont été configurés et activés pour le tenant concerné.</w:t>
      </w:r>
    </w:p>
    <w:tbl>
      <w:tblPr>
        <w:tblStyle w:val="TableGrid"/>
        <w:tblW w:type="dxa" w:w="9360"/>
        <w:jc w:val="left"/>
        <w:tblLayout w:type="fixed"/>
        <w:tblLook w:firstColumn="1" w:firstRow="1" w:lastColumn="0" w:lastRow="0" w:noHBand="0" w:noVBand="1" w:val="04A0"/>
        <w:tblInd w:w="120" w:type="dxa"/>
      </w:tblPr>
      <w:tblGrid>
        <w:gridCol w:w="2100"/>
        <w:gridCol w:w="2500"/>
        <w:gridCol w:w="4760"/>
      </w:tblGrid>
      <w:tr>
        <w:trPr>
          <w:tblHeader w:val="true"/>
        </w:trPr>
        <w:tc>
          <w:tcPr>
            <w:tcW w:type="dxa" w:w="2100"/>
            <w:tcMar>
              <w:top w:w="80" w:type="dxa"/>
              <w:start w:w="120" w:type="dxa"/>
              <w:bottom w:w="80" w:type="dxa"/>
              <w:end w:w="120" w:type="dxa"/>
            </w:tcMar>
            <w:shd w:fill="F4F6F9"/>
          </w:tcPr>
          <w:p>
            <w:r>
              <w:rPr>
                <w:rFonts w:ascii="Calibri" w:hAnsi="Calibri"/>
                <w:b/>
                <w:color w:val="202124"/>
                <w:sz w:val="18"/>
              </w:rPr>
              <w:t>Élément</w:t>
            </w:r>
          </w:p>
        </w:tc>
        <w:tc>
          <w:tcPr>
            <w:tcW w:type="dxa" w:w="2500"/>
            <w:tcMar>
              <w:top w:w="80" w:type="dxa"/>
              <w:start w:w="120" w:type="dxa"/>
              <w:bottom w:w="80" w:type="dxa"/>
              <w:end w:w="120" w:type="dxa"/>
            </w:tcMar>
            <w:shd w:fill="F4F6F9"/>
          </w:tcPr>
          <w:p>
            <w:r>
              <w:rPr>
                <w:rFonts w:ascii="Calibri" w:hAnsi="Calibri"/>
                <w:b/>
                <w:color w:val="202124"/>
                <w:sz w:val="18"/>
              </w:rPr>
              <w:t>Niveau de gestion</w:t>
            </w:r>
          </w:p>
        </w:tc>
        <w:tc>
          <w:tcPr>
            <w:tcW w:type="dxa" w:w="4760"/>
            <w:tcMar>
              <w:top w:w="80" w:type="dxa"/>
              <w:start w:w="120" w:type="dxa"/>
              <w:bottom w:w="80" w:type="dxa"/>
              <w:end w:w="120" w:type="dxa"/>
            </w:tcMar>
            <w:shd w:fill="F4F6F9"/>
          </w:tcPr>
          <w:p>
            <w:r>
              <w:rPr>
                <w:rFonts w:ascii="Calibri" w:hAnsi="Calibri"/>
                <w:b/>
                <w:color w:val="202124"/>
                <w:sz w:val="18"/>
              </w:rPr>
              <w:t>Effet sur la marketplace</w:t>
            </w:r>
          </w:p>
        </w:tc>
      </w:tr>
      <w:tr>
        <w:tc>
          <w:tcPr>
            <w:tcW w:type="dxa" w:w="2100"/>
          </w:tcPr>
          <w:p>
            <w:r>
              <w:rPr>
                <w:rFonts w:ascii="Calibri" w:hAnsi="Calibri"/>
                <w:color w:val="202124"/>
                <w:sz w:val="18"/>
              </w:rPr>
              <w:t>Store</w:t>
            </w:r>
          </w:p>
        </w:tc>
        <w:tc>
          <w:tcPr>
            <w:tcW w:type="dxa" w:w="2500"/>
          </w:tcPr>
          <w:p>
            <w:r>
              <w:rPr>
                <w:rFonts w:ascii="Calibri" w:hAnsi="Calibri"/>
                <w:color w:val="202124"/>
                <w:sz w:val="18"/>
              </w:rPr>
              <w:t>Catalogue SaaS puis association tenant</w:t>
            </w:r>
          </w:p>
        </w:tc>
        <w:tc>
          <w:tcPr>
            <w:tcW w:type="dxa" w:w="4760"/>
          </w:tcPr>
          <w:p>
            <w:r>
              <w:rPr>
                <w:rFonts w:ascii="Calibri" w:hAnsi="Calibri"/>
                <w:color w:val="202124"/>
                <w:sz w:val="18"/>
              </w:rPr>
              <w:t>Ajoute ou retire une verticale métier de la marketplace.</w:t>
            </w:r>
          </w:p>
        </w:tc>
      </w:tr>
      <w:tr>
        <w:tc>
          <w:tcPr>
            <w:tcW w:type="dxa" w:w="2100"/>
          </w:tcPr>
          <w:p>
            <w:r>
              <w:rPr>
                <w:rFonts w:ascii="Calibri" w:hAnsi="Calibri"/>
                <w:color w:val="202124"/>
                <w:sz w:val="18"/>
              </w:rPr>
              <w:t>Module</w:t>
            </w:r>
          </w:p>
        </w:tc>
        <w:tc>
          <w:tcPr>
            <w:tcW w:type="dxa" w:w="2500"/>
          </w:tcPr>
          <w:p>
            <w:r>
              <w:rPr>
                <w:rFonts w:ascii="Calibri" w:hAnsi="Calibri"/>
                <w:color w:val="202124"/>
                <w:sz w:val="18"/>
              </w:rPr>
              <w:t>Association store–tenant</w:t>
            </w:r>
          </w:p>
        </w:tc>
        <w:tc>
          <w:tcPr>
            <w:tcW w:type="dxa" w:w="4760"/>
          </w:tcPr>
          <w:p>
            <w:r>
              <w:rPr>
                <w:rFonts w:ascii="Calibri" w:hAnsi="Calibri"/>
                <w:color w:val="202124"/>
                <w:sz w:val="18"/>
              </w:rPr>
              <w:t>Active un simulateur, comparateur ou contenu seulement là où il est utile.</w:t>
            </w:r>
          </w:p>
        </w:tc>
      </w:tr>
      <w:tr>
        <w:tc>
          <w:tcPr>
            <w:tcW w:type="dxa" w:w="2100"/>
          </w:tcPr>
          <w:p>
            <w:r>
              <w:rPr>
                <w:rFonts w:ascii="Calibri" w:hAnsi="Calibri"/>
                <w:color w:val="202124"/>
                <w:sz w:val="18"/>
              </w:rPr>
              <w:t>Branding</w:t>
            </w:r>
          </w:p>
        </w:tc>
        <w:tc>
          <w:tcPr>
            <w:tcW w:type="dxa" w:w="2500"/>
          </w:tcPr>
          <w:p>
            <w:r>
              <w:rPr>
                <w:rFonts w:ascii="Calibri" w:hAnsi="Calibri"/>
                <w:color w:val="202124"/>
                <w:sz w:val="18"/>
              </w:rPr>
              <w:t>Tenant bancaire</w:t>
            </w:r>
          </w:p>
        </w:tc>
        <w:tc>
          <w:tcPr>
            <w:tcW w:type="dxa" w:w="4760"/>
          </w:tcPr>
          <w:p>
            <w:r>
              <w:rPr>
                <w:rFonts w:ascii="Calibri" w:hAnsi="Calibri"/>
                <w:color w:val="202124"/>
                <w:sz w:val="18"/>
              </w:rPr>
              <w:t>Applique logo, palette, bannières et textes de la banque.</w:t>
            </w:r>
          </w:p>
        </w:tc>
      </w:tr>
      <w:tr>
        <w:tc>
          <w:tcPr>
            <w:tcW w:type="dxa" w:w="2100"/>
          </w:tcPr>
          <w:p>
            <w:r>
              <w:rPr>
                <w:rFonts w:ascii="Calibri" w:hAnsi="Calibri"/>
                <w:color w:val="202124"/>
                <w:sz w:val="18"/>
              </w:rPr>
              <w:t>Paramètres</w:t>
            </w:r>
          </w:p>
        </w:tc>
        <w:tc>
          <w:tcPr>
            <w:tcW w:type="dxa" w:w="2500"/>
          </w:tcPr>
          <w:p>
            <w:r>
              <w:rPr>
                <w:rFonts w:ascii="Calibri" w:hAnsi="Calibri"/>
                <w:color w:val="202124"/>
                <w:sz w:val="18"/>
              </w:rPr>
              <w:t>Tenant et store</w:t>
            </w:r>
          </w:p>
        </w:tc>
        <w:tc>
          <w:tcPr>
            <w:tcW w:type="dxa" w:w="4760"/>
          </w:tcPr>
          <w:p>
            <w:r>
              <w:rPr>
                <w:rFonts w:ascii="Calibri" w:hAnsi="Calibri"/>
                <w:color w:val="202124"/>
                <w:sz w:val="18"/>
              </w:rPr>
              <w:t>Adapte les champs et règles de présentation sans imposer un modèle rigide de produit.</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des stores et modules</w:t>
            </w:r>
          </w:p>
          <w:p>
            <w:pPr>
              <w:jc w:val="center"/>
            </w:pPr>
            <w:r>
              <w:rPr>
                <w:rFonts w:ascii="Calibri" w:hAnsi="Calibri"/>
                <w:i/>
                <w:color w:val="5B6573"/>
                <w:sz w:val="18"/>
              </w:rPr>
              <w:t>Insérer la vue « Stores assignés » ou « Modules assignés » de l’espace banque.</w:t>
            </w:r>
          </w:p>
        </w:tc>
      </w:tr>
    </w:tbl>
    <w:p>
      <w:pPr>
        <w:spacing w:after="40"/>
      </w:pPr>
    </w:p>
    <w:p>
      <w:pPr>
        <w:pStyle w:val="Caption"/>
        <w:jc w:val="center"/>
      </w:pPr>
      <w:r>
        <w:rPr>
          <w:rFonts w:ascii="Calibri" w:hAnsi="Calibri"/>
          <w:i/>
          <w:color w:val="5B6573"/>
          <w:sz w:val="18"/>
        </w:rPr>
        <w:t>Capture 4.4 - Configuration des stores et 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Branding de la marketplace bancaire</w:t>
            </w:r>
          </w:p>
          <w:p>
            <w:pPr>
              <w:jc w:val="center"/>
            </w:pPr>
            <w:r>
              <w:rPr>
                <w:rFonts w:ascii="Calibri" w:hAnsi="Calibri"/>
                <w:i/>
                <w:color w:val="5B6573"/>
                <w:sz w:val="18"/>
              </w:rPr>
              <w:t>Insérer l’écran de modification du logo, des couleurs, des bannières et des contenus de la banque.</w:t>
            </w:r>
          </w:p>
        </w:tc>
      </w:tr>
    </w:tbl>
    <w:p>
      <w:pPr>
        <w:spacing w:after="40"/>
      </w:pPr>
    </w:p>
    <w:p>
      <w:pPr>
        <w:pStyle w:val="Caption"/>
        <w:jc w:val="center"/>
      </w:pPr>
      <w:r>
        <w:rPr>
          <w:rFonts w:ascii="Calibri" w:hAnsi="Calibri"/>
          <w:i/>
          <w:color w:val="5B6573"/>
          <w:sz w:val="18"/>
        </w:rPr>
        <w:t>Capture 4.5 - Branding de la marketplace bancaire.</w:t>
      </w:r>
    </w:p>
    <w:p>
      <w:pPr>
        <w:pStyle w:val="Heading3"/>
      </w:pPr>
      <w:r>
        <w:rPr>
          <w:rFonts w:ascii="Calibri" w:hAnsi="Calibri"/>
        </w:rPr>
        <w:t>4.3.3 Cycle de vie et évolution de l’abonnement</w:t>
      </w:r>
    </w:p>
    <w:p>
      <w:r>
        <w:rPr>
          <w:rFonts w:ascii="Calibri" w:hAnsi="Calibri"/>
        </w:rPr>
        <w:t>Le back-office Banque donne également une visibilité sur l’état et l’échéance de l’abonnement. Lorsqu’une banque souhaite renouveler son abonnement, effectuer un upgrade, étendre son offre ou ajouter de nouveaux stores ou modules, elle ne modifie pas directement ses droits. Une nouvelle demande est envoyée au back-office SaaS. Elle suit à nouveau une validation commerciale et technique, puis un paiement avant la mise à jour de l’abonnement et l’activation des nouveaux services.</w:t>
      </w:r>
    </w:p>
    <w:p>
      <w:r>
        <w:rPr>
          <w:rFonts w:ascii="Calibri" w:hAnsi="Calibri"/>
        </w:rPr>
        <w:t>Le workflow d’évolution est donc : Demande de renouvellement / upgrade → SaaS → Validation → Paiement → Mise à jour de l’abonnement → Activation des nouveaux services. Cette reprise du circuit d’approbation protège la cohérence du catalogue commercial et évite que des services payants soient activés sans souscription correspondante.</w:t>
      </w:r>
    </w:p>
    <w:p>
      <w:pPr>
        <w:spacing w:before="120" w:after="60"/>
        <w:jc w:val="center"/>
      </w:pPr>
      <w:r>
        <w:drawing>
          <wp:inline xmlns:a="http://schemas.openxmlformats.org/drawingml/2006/main" xmlns:pic="http://schemas.openxmlformats.org/drawingml/2006/picture">
            <wp:extent cx="5715000" cy="2222500"/>
            <wp:docPr id="4" name="Picture 4" descr="Figure 4.4 — Workflow de renouvellement, upgrade ou ajout de services à l’abonnement." title="Figure 4.4 — Workflow de renouvellement, upgrade ou ajout de services à l’abonnement."/>
            <wp:cNvGraphicFramePr>
              <a:graphicFrameLocks noChangeAspect="1"/>
            </wp:cNvGraphicFramePr>
            <a:graphic>
              <a:graphicData uri="http://schemas.openxmlformats.org/drawingml/2006/picture">
                <pic:pic>
                  <pic:nvPicPr>
                    <pic:cNvPr id="0" name="fig_4_4_evolution_abonnement.png"/>
                    <pic:cNvPicPr/>
                  </pic:nvPicPr>
                  <pic:blipFill>
                    <a:blip r:embed="rId14"/>
                    <a:stretch>
                      <a:fillRect/>
                    </a:stretch>
                  </pic:blipFill>
                  <pic:spPr>
                    <a:xfrm>
                      <a:off x="0" y="0"/>
                      <a:ext cx="5715000" cy="2222500"/>
                    </a:xfrm>
                    <a:prstGeom prst="rect"/>
                  </pic:spPr>
                </pic:pic>
              </a:graphicData>
            </a:graphic>
          </wp:inline>
        </w:drawing>
      </w:r>
    </w:p>
    <w:p>
      <w:pPr>
        <w:pStyle w:val="Caption"/>
        <w:jc w:val="center"/>
      </w:pPr>
      <w:r>
        <w:rPr>
          <w:rFonts w:ascii="Calibri" w:hAnsi="Calibri"/>
          <w:i/>
          <w:color w:val="5B6573"/>
          <w:sz w:val="18"/>
        </w:rPr>
        <w:t>Figure 4.4 — Workflow de renouvellement, upgrade ou ajout de services à l’abonnement.</w:t>
      </w:r>
    </w:p>
    <w:p>
      <w:pPr>
        <w:pStyle w:val="Heading2"/>
      </w:pPr>
      <w:r>
        <w:rPr>
          <w:rFonts w:ascii="Calibri" w:hAnsi="Calibri"/>
        </w:rPr>
        <w:t>4.4 Marketplace publique contextualisée</w:t>
      </w:r>
    </w:p>
    <w:p>
      <w:r>
        <w:rPr>
          <w:rFonts w:ascii="Calibri" w:hAnsi="Calibri"/>
        </w:rPr>
        <w:t>La marketplace publique constitue la façade du tenant. Le visiteur y retrouve l’identité de la banque, les stores sélectionnés, les contenus associés et, selon la configuration, les modules de comparaison ou de simulation. L’URL conserve le contexte de la marketplace et du store, ce qui rend possible la navigation entre plusieurs verticales sans ambiguïté sur la banque consultée.</w:t>
      </w:r>
    </w:p>
    <w:p>
      <w:pPr>
        <w:spacing w:before="120" w:after="60"/>
        <w:jc w:val="center"/>
      </w:pPr>
      <w:r>
        <w:drawing>
          <wp:inline xmlns:a="http://schemas.openxmlformats.org/drawingml/2006/main" xmlns:pic="http://schemas.openxmlformats.org/drawingml/2006/picture">
            <wp:extent cx="5715000" cy="3306944"/>
            <wp:docPr id="5" name="Picture 5" descr="Figure 4.5 — Marketplace contextualisée : store véhicule, identité tenant et modules disponibles." title="Figure 4.5 — Marketplace contextualisée : store véhicule, identité tenant et modules disponibles."/>
            <wp:cNvGraphicFramePr>
              <a:graphicFrameLocks noChangeAspect="1"/>
            </wp:cNvGraphicFramePr>
            <a:graphic>
              <a:graphicData uri="http://schemas.openxmlformats.org/drawingml/2006/picture">
                <pic:pic>
                  <pic:nvPicPr>
                    <pic:cNvPr id="0" name="TenantMarketplace.png"/>
                    <pic:cNvPicPr/>
                  </pic:nvPicPr>
                  <pic:blipFill>
                    <a:blip r:embed="rId15"/>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4.5 — Marketplace contextualisée : store véhicule, identité tenant et modules disponibles.</w:t>
      </w:r>
    </w:p>
    <w:p>
      <w:r>
        <w:rPr>
          <w:rFonts w:ascii="Calibri" w:hAnsi="Calibri"/>
        </w:rPr>
        <w:t>Dans l’exemple de la figure 4.5, la navigation affiche des stores distincts et met en avant le store « véhicule ». Les boutons de modules visibles à gauche témoignent de la composition configurable de l’offre. La page d’accueil peut être personnalisée par des bannières et des contenus propres à la banque, tandis que les stores affichent les produits et leurs détails dans le contexte du tenant.</w:t>
      </w:r>
    </w:p>
    <w:p>
      <w:r>
        <w:rPr>
          <w:rFonts w:ascii="Calibri" w:hAnsi="Calibri"/>
        </w:rPr>
        <w:t>La marketplace conserve les fonctionnalités déjà mises à disposition du public : page d’accueil, navigation par stores, consultation des produits, détail d’une offre, comparateur, simulateur, chatbot, authentification, inscription client et accès aux espaces sécurisés. Les fonctionnalités visibles sont déterminées par la configuration validée de la banque et par l’état de son abonnement ; elles ne sont donc pas séparées du cycle SaaS décrit précédemment.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Page d’un store avec modules actifs</w:t>
            </w:r>
          </w:p>
          <w:p>
            <w:pPr>
              <w:jc w:val="center"/>
            </w:pPr>
            <w:r>
              <w:rPr>
                <w:rFonts w:ascii="Calibri" w:hAnsi="Calibri"/>
                <w:i/>
                <w:color w:val="5B6573"/>
                <w:sz w:val="18"/>
              </w:rPr>
              <w:t>Insérer une page produit illustrant le comparateur, le simulateur et le chatbot lorsqu’ils sont activés pour le store.</w:t>
            </w:r>
          </w:p>
        </w:tc>
      </w:tr>
    </w:tbl>
    <w:p>
      <w:pPr>
        <w:spacing w:after="40"/>
      </w:pPr>
    </w:p>
    <w:p>
      <w:pPr>
        <w:pStyle w:val="Caption"/>
        <w:jc w:val="center"/>
      </w:pPr>
      <w:r>
        <w:rPr>
          <w:rFonts w:ascii="Calibri" w:hAnsi="Calibri"/>
          <w:i/>
          <w:color w:val="5B6573"/>
          <w:sz w:val="18"/>
        </w:rPr>
        <w:t>Capture 4.6 - Page d’un store avec modules actifs.</w:t>
      </w:r>
    </w:p>
    <w:p>
      <w:pPr>
        <w:pStyle w:val="Heading2"/>
      </w:pPr>
      <w:r>
        <w:rPr>
          <w:rFonts w:ascii="Calibri" w:hAnsi="Calibri"/>
        </w:rPr>
        <w:t>4.5 Paiement sécurisé, traçabilité et états d’abonnement</w:t>
      </w:r>
    </w:p>
    <w:p>
      <w:pPr>
        <w:pStyle w:val="Heading3"/>
      </w:pPr>
      <w:r>
        <w:rPr>
          <w:rFonts w:ascii="Calibri" w:hAnsi="Calibri"/>
        </w:rPr>
        <w:t>4.5.1 Modèle commercial et traçabilité</w:t>
      </w:r>
    </w:p>
    <w:p>
      <w:r>
        <w:rPr>
          <w:rFonts w:ascii="Calibri" w:hAnsi="Calibri"/>
        </w:rPr>
        <w:t>La demande, l’abonnement et le paiement forment un triptyque cohérent. Lors de la souscription, les éléments commerciaux sélectionnés (stores, modules, prix et paramètres) sont conservés dans l’abonnement afin de préserver l’historique, même si le catalogue commun est ensuite modifié. Les paiements peuvent être suivis avec des statuts de traitement distincts, notamment en attente, payé, échoué ou annulé.</w:t>
      </w:r>
    </w:p>
    <w:p>
      <w:r>
        <w:rPr>
          <w:rFonts w:ascii="Calibri" w:hAnsi="Calibri"/>
        </w:rPr>
        <w:t>La durée de l’abonnement est prise en compte dans la surveillance des échéances. Les alertes permettent d’anticiper le renouvellement, mais la prolongation des accès ne peut être effectuée qu’après la confirmation du règlement. Les écrans SaaS regroupent par conséquent les abonnements actifs, les paiements réalisés, les montants et les dates d’expiration.</w:t>
      </w:r>
    </w:p>
    <w:p>
      <w:pPr>
        <w:spacing w:before="120" w:after="60"/>
        <w:jc w:val="center"/>
      </w:pPr>
      <w:r>
        <w:drawing>
          <wp:inline xmlns:a="http://schemas.openxmlformats.org/drawingml/2006/main" xmlns:pic="http://schemas.openxmlformats.org/drawingml/2006/picture">
            <wp:extent cx="5715000" cy="2159000"/>
            <wp:docPr id="6" name="Picture 6" descr="Figure 4.6 — Diagramme d’états d’un abonnement bancaire." title="Figure 4.6 — Diagramme d’états d’un abonnement bancaire."/>
            <wp:cNvGraphicFramePr>
              <a:graphicFrameLocks noChangeAspect="1"/>
            </wp:cNvGraphicFramePr>
            <a:graphic>
              <a:graphicData uri="http://schemas.openxmlformats.org/drawingml/2006/picture">
                <pic:pic>
                  <pic:nvPicPr>
                    <pic:cNvPr id="0" name="fig_4_3_etats_abonnement.png"/>
                    <pic:cNvPicPr/>
                  </pic:nvPicPr>
                  <pic:blipFill>
                    <a:blip r:embed="rId16"/>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4.6 — Diagramme d’états d’un abonnement bancaire.</w:t>
      </w:r>
    </w:p>
    <w:p>
      <w:pPr>
        <w:pStyle w:val="Heading3"/>
      </w:pPr>
      <w:r>
        <w:rPr>
          <w:rFonts w:ascii="Calibri" w:hAnsi="Calibri"/>
        </w:rPr>
        <w:t>4.5.2 Intégration de Stripe</w:t>
      </w:r>
    </w:p>
    <w:p>
      <w:r>
        <w:rPr>
          <w:rFonts w:ascii="Calibri" w:hAnsi="Calibri"/>
        </w:rPr>
        <w:t>L’intégration de paiement utilise Stripe avec deux approches complémentaires : la création d’un Payment Intent pour les scénarios de paiement pilotés par l’application, et la redirection vers une Checkout Session lorsqu’une page de paiement hébergée est adaptée. Dans les deux cas, la clé secrète n’est jamais exposée au navigateur. Le back-end crée la transaction, conserve la référence utile et ne déclenche l’activation qu’après confirmation côté serveur.</w:t>
      </w:r>
    </w:p>
    <w:p>
      <w:r>
        <w:rPr>
          <w:rFonts w:ascii="Calibri" w:hAnsi="Calibri"/>
        </w:rPr>
        <w:t>En environnement de production, ce mécanisme doit être complété par la vérification de signature des webhooks Stripe et l’idempotence des traitements. Ces deux mesures empêchent qu’une notification répétée ou falsifiée conduise à des activations multiples. Les identifiants techniques et les secrets de paiement restent stockés hors du dépôt, dans les variables de configuration ou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Paiement Stripe réussi</w:t>
            </w:r>
          </w:p>
          <w:p>
            <w:pPr>
              <w:jc w:val="center"/>
            </w:pPr>
            <w:r>
              <w:rPr>
                <w:rFonts w:ascii="Calibri" w:hAnsi="Calibri"/>
                <w:i/>
                <w:color w:val="5B6573"/>
                <w:sz w:val="18"/>
              </w:rPr>
              <w:t>Insérer l’écran de retour Stripe ou la confirmation de paiement, sans clé API, jeton ni identifiant de session.</w:t>
            </w:r>
          </w:p>
        </w:tc>
      </w:tr>
    </w:tbl>
    <w:p>
      <w:pPr>
        <w:spacing w:after="40"/>
      </w:pPr>
    </w:p>
    <w:p>
      <w:pPr>
        <w:pStyle w:val="Caption"/>
        <w:jc w:val="center"/>
      </w:pPr>
      <w:r>
        <w:rPr>
          <w:rFonts w:ascii="Calibri" w:hAnsi="Calibri"/>
          <w:i/>
          <w:color w:val="5B6573"/>
          <w:sz w:val="18"/>
        </w:rPr>
        <w:t>Capture 4.7 - Paiement Stripe réussi.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des abonnements et alertes</w:t>
            </w:r>
          </w:p>
          <w:p>
            <w:pPr>
              <w:jc w:val="center"/>
            </w:pPr>
            <w:r>
              <w:rPr>
                <w:rFonts w:ascii="Calibri" w:hAnsi="Calibri"/>
                <w:i/>
                <w:color w:val="5B6573"/>
                <w:sz w:val="18"/>
              </w:rPr>
              <w:t>Insérer la liste SaaS des abonnements payés, renouvellements et alertes d’échéance.</w:t>
            </w:r>
          </w:p>
        </w:tc>
      </w:tr>
    </w:tbl>
    <w:p>
      <w:pPr>
        <w:spacing w:after="40"/>
      </w:pPr>
    </w:p>
    <w:p>
      <w:pPr>
        <w:pStyle w:val="Caption"/>
        <w:jc w:val="center"/>
      </w:pPr>
      <w:r>
        <w:rPr>
          <w:rFonts w:ascii="Calibri" w:hAnsi="Calibri"/>
          <w:i/>
          <w:color w:val="5B6573"/>
          <w:sz w:val="18"/>
        </w:rPr>
        <w:t>Capture 4.8 - Liste des abonnements et alertes.</w:t>
      </w:r>
    </w:p>
    <w:p>
      <w:pPr>
        <w:pStyle w:val="Heading2"/>
      </w:pPr>
      <w:r>
        <w:rPr>
          <w:rFonts w:ascii="Calibri" w:hAnsi="Calibri"/>
        </w:rPr>
        <w:t>4.6 Conclusion</w:t>
      </w:r>
    </w:p>
    <w:p>
      <w:r>
        <w:rPr>
          <w:rFonts w:ascii="Calibri" w:hAnsi="Calibri"/>
        </w:rPr>
        <w:t>La réalisation du noyau SaaS assure un parcours maîtrisé : demande bancaire, traitement SaaS, notification, paiement, activation, livraison des identifiants Banque, configuration du tenant et renouvellement. La configuration portée par le tenant rend l’application extensible, tandis que le contrôle d’état de l’abonnement préserve la cohérence entre la souscription commerciale, l’accès au back-office Banque et les fonctions réellement disponibles sur la marketplace publique.</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7" name="Picture 7"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17"/>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8" name="Picture 8"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18"/>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Parcours client et demande de financement</w:t>
      </w:r>
    </w:p>
    <w:p>
      <w:pPr>
        <w:pStyle w:val="Heading3"/>
      </w:pPr>
      <w:r>
        <w:rPr>
          <w:rFonts w:ascii="Calibri" w:hAnsi="Calibri"/>
        </w:rPr>
        <w:t>5.4.1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5.4.2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9" name="Picture 9"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19"/>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5.4.3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peut déclencher la réservation du stock ; le concessionnaire concerné reçoit alors la notification correspondante.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10" name="Picture 10"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20"/>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5.6 -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5.7 -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5.8 - Instruction bancaire et décision motivée.</w:t>
      </w:r>
    </w:p>
    <w:p>
      <w:pPr>
        <w:pStyle w:val="Heading2"/>
      </w:pPr>
      <w:r>
        <w:rPr>
          <w:rFonts w:ascii="Calibri" w:hAnsi="Calibri"/>
        </w:rPr>
        <w:t>5.5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11" name="Picture 11"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21"/>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5.5.1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12" name="Picture 12"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22"/>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5.5.2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5.9 - Réponse valide et refus sécurisé de l’assistant IA.</w:t>
      </w:r>
    </w:p>
    <w:p>
      <w:pPr>
        <w:pStyle w:val="Heading2"/>
      </w:pPr>
      <w:r>
        <w:rPr>
          <w:rFonts w:ascii="Calibri" w:hAnsi="Calibri"/>
        </w:rPr>
        <w:t>5.6 Conclusion</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Chapitres 4 et 5 — Matchia</dc:title>
  <dc:subject>Réalisation SaaS bancaire, parcours concessionnaire, financement et assistant IA</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