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2E74B5"/>
          <w:sz w:val="22"/>
        </w:rPr>
        <w:t>MÉMOIRE DE FIN D’ÉTUDES</w:t>
      </w:r>
    </w:p>
    <w:p>
      <w:pPr>
        <w:spacing w:before="320" w:after="200"/>
        <w:jc w:val="center"/>
      </w:pPr>
      <w:r>
        <w:rPr>
          <w:rFonts w:ascii="Calibri" w:hAnsi="Calibri"/>
          <w:b/>
          <w:color w:val="0B2545"/>
          <w:sz w:val="48"/>
        </w:rPr>
        <w:t>Conception, développement et déploiement d’une plateforme SaaS multi-tenant pour la gestion de marketplaces bancaires avec mise en place d’un pipeline CI/CD</w:t>
      </w:r>
    </w:p>
    <w:p>
      <w:pPr>
        <w:spacing w:before="400"/>
        <w:jc w:val="center"/>
      </w:pPr>
      <w:r>
        <w:rPr>
          <w:rFonts w:ascii="Calibri" w:hAnsi="Calibri"/>
          <w:b w:val="0"/>
          <w:color w:val="1F4D78"/>
          <w:sz w:val="30"/>
        </w:rPr>
        <w:t>Chapitres 4 et 5 : réalisation fonctionnelle et parcours métier</w:t>
      </w:r>
    </w:p>
    <w:p/>
    <w:p/>
    <w:p/>
    <w:p/>
    <w:p/>
    <w:p/>
    <w:p/>
    <w:p>
      <w:pPr>
        <w:jc w:val="center"/>
      </w:pPr>
      <w:r>
        <w:rPr>
          <w:rFonts w:ascii="Calibri" w:hAnsi="Calibri"/>
          <w:i/>
          <w:color w:val="5B6573"/>
          <w:sz w:val="22"/>
        </w:rPr>
        <w:t>Plateforme Matchia | Version documentaire</w:t>
      </w:r>
    </w:p>
    <w:p>
      <w:r>
        <w:br w:type="page"/>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 name="Picture 1"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1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2" name="Picture 2"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3" name="Picture 3"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13"/>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4" name="Picture 4"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1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5" name="Picture 5"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15"/>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6" name="Picture 6"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16"/>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7" name="Picture 7"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17"/>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8" name="Picture 8"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8"/>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9" name="Picture 9"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0" name="Picture 10"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11" name="Picture 11"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Suivi concessionnaire des demandes de financement liées à ses produits</w:t>
      </w:r>
    </w:p>
    <w:p>
      <w:r>
        <w:rPr>
          <w:rFonts w:ascii="Calibri" w:hAnsi="Calibri"/>
        </w:rPr>
        <w:t>Le concessionnaire dispose de la page « Mes demandes de financement » pour suivre, depuis son compte unique, les dossiers déposés par les clients pour ses produits publiés sur les différentes marketplaces partenaires. La page centralise les demandes, même lorsqu’un même catalogue est présenté auprès de plusieurs banques. Elle affiche des indicateurs du nombre total de dossiers ainsi que des demandes en attente, acceptées et rejetées.</w:t>
      </w:r>
    </w:p>
    <w:p>
      <w:r>
        <w:rPr>
          <w:rFonts w:ascii="Calibri" w:hAnsi="Calibri"/>
        </w:rPr>
        <w:t>La liste présente la référence du dossier, le produit concerné, le client, la banque et la marketplace, le montant demandé, la date de création et le statut. Une recherche par client ou référence, un filtre par statut et un filtre par banque permettent au concessionnaire de retrouver rapidement un dossier. La consultation détaillée restitue notamment le montant financé, la mensualité, la durée, les coordonnées du client, le store et le prix du produit.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État de la demande</w:t>
            </w:r>
          </w:p>
        </w:tc>
        <w:tc>
          <w:tcPr>
            <w:tcW w:type="dxa" w:w="3900"/>
            <w:tcMar>
              <w:top w:w="80" w:type="dxa"/>
              <w:start w:w="120" w:type="dxa"/>
              <w:bottom w:w="80" w:type="dxa"/>
              <w:end w:w="120" w:type="dxa"/>
            </w:tcMar>
            <w:shd w:fill="F4F6F9"/>
          </w:tcPr>
          <w:p>
            <w:r>
              <w:rPr>
                <w:rFonts w:ascii="Calibri" w:hAnsi="Calibri"/>
                <w:b/>
                <w:color w:val="202124"/>
                <w:sz w:val="18"/>
              </w:rPr>
              <w:t>Lecture côté concessionnaire</w:t>
            </w:r>
          </w:p>
        </w:tc>
        <w:tc>
          <w:tcPr>
            <w:tcW w:type="dxa" w:w="3660"/>
            <w:tcMar>
              <w:top w:w="80" w:type="dxa"/>
              <w:start w:w="120" w:type="dxa"/>
              <w:bottom w:w="80" w:type="dxa"/>
              <w:end w:w="120" w:type="dxa"/>
            </w:tcMar>
            <w:shd w:fill="F4F6F9"/>
          </w:tcPr>
          <w:p>
            <w:r>
              <w:rPr>
                <w:rFonts w:ascii="Calibri" w:hAnsi="Calibri"/>
                <w:b/>
                <w:color w:val="202124"/>
                <w:sz w:val="18"/>
              </w:rPr>
              <w:t>Effet métier</w:t>
            </w:r>
          </w:p>
        </w:tc>
      </w:tr>
      <w:tr>
        <w:tc>
          <w:tcPr>
            <w:tcW w:type="dxa" w:w="1800"/>
          </w:tcPr>
          <w:p>
            <w:r>
              <w:rPr>
                <w:rFonts w:ascii="Calibri" w:hAnsi="Calibri"/>
                <w:color w:val="202124"/>
                <w:sz w:val="18"/>
              </w:rPr>
              <w:t>PENDING</w:t>
            </w:r>
          </w:p>
        </w:tc>
        <w:tc>
          <w:tcPr>
            <w:tcW w:type="dxa" w:w="3900"/>
          </w:tcPr>
          <w:p>
            <w:r>
              <w:rPr>
                <w:rFonts w:ascii="Calibri" w:hAnsi="Calibri"/>
                <w:color w:val="202124"/>
                <w:sz w:val="18"/>
              </w:rPr>
              <w:t>Dossier soumis à la banque et visible comme en attente.</w:t>
            </w:r>
          </w:p>
        </w:tc>
        <w:tc>
          <w:tcPr>
            <w:tcW w:type="dxa" w:w="3660"/>
          </w:tcPr>
          <w:p>
            <w:r>
              <w:rPr>
                <w:rFonts w:ascii="Calibri" w:hAnsi="Calibri"/>
                <w:color w:val="202124"/>
                <w:sz w:val="18"/>
              </w:rPr>
              <w:t>Le produit reste disponible tant qu’aucune décision favorable n’est enregistrée.</w:t>
            </w:r>
          </w:p>
        </w:tc>
      </w:tr>
      <w:tr>
        <w:tc>
          <w:tcPr>
            <w:tcW w:type="dxa" w:w="1800"/>
          </w:tcPr>
          <w:p>
            <w:r>
              <w:rPr>
                <w:rFonts w:ascii="Calibri" w:hAnsi="Calibri"/>
                <w:color w:val="202124"/>
                <w:sz w:val="18"/>
              </w:rPr>
              <w:t>ACCEPTED</w:t>
            </w:r>
          </w:p>
        </w:tc>
        <w:tc>
          <w:tcPr>
            <w:tcW w:type="dxa" w:w="3900"/>
          </w:tcPr>
          <w:p>
            <w:r>
              <w:rPr>
                <w:rFonts w:ascii="Calibri" w:hAnsi="Calibri"/>
                <w:color w:val="202124"/>
                <w:sz w:val="18"/>
              </w:rPr>
              <w:t>Décision favorable visible dans le suivi du concessionnaire.</w:t>
            </w:r>
          </w:p>
        </w:tc>
        <w:tc>
          <w:tcPr>
            <w:tcW w:type="dxa" w:w="3660"/>
          </w:tcPr>
          <w:p>
            <w:r>
              <w:rPr>
                <w:rFonts w:ascii="Calibri" w:hAnsi="Calibri"/>
                <w:color w:val="202124"/>
                <w:sz w:val="18"/>
              </w:rPr>
              <w:t>Le service réserve le stock du produit concerné afin de fiabiliser la disponibilité.</w:t>
            </w:r>
          </w:p>
        </w:tc>
      </w:tr>
      <w:tr>
        <w:tc>
          <w:tcPr>
            <w:tcW w:type="dxa" w:w="1800"/>
          </w:tcPr>
          <w:p>
            <w:r>
              <w:rPr>
                <w:rFonts w:ascii="Calibri" w:hAnsi="Calibri"/>
                <w:color w:val="202124"/>
                <w:sz w:val="18"/>
              </w:rPr>
              <w:t>REJECTED</w:t>
            </w:r>
          </w:p>
        </w:tc>
        <w:tc>
          <w:tcPr>
            <w:tcW w:type="dxa" w:w="3900"/>
          </w:tcPr>
          <w:p>
            <w:r>
              <w:rPr>
                <w:rFonts w:ascii="Calibri" w:hAnsi="Calibri"/>
                <w:color w:val="202124"/>
                <w:sz w:val="18"/>
              </w:rPr>
              <w:t>Décision défavorable visible dans le suivi.</w:t>
            </w:r>
          </w:p>
        </w:tc>
        <w:tc>
          <w:tcPr>
            <w:tcW w:type="dxa" w:w="3660"/>
          </w:tcPr>
          <w:p>
            <w:r>
              <w:rPr>
                <w:rFonts w:ascii="Calibri" w:hAnsi="Calibri"/>
                <w:color w:val="202124"/>
                <w:sz w:val="18"/>
              </w:rPr>
              <w:t>Aucune réservation de stock n’est créée ; le produit demeure disponible.</w:t>
            </w:r>
          </w:p>
        </w:tc>
      </w:tr>
    </w:tbl>
    <w:p>
      <w:pPr>
        <w:spacing w:after="60"/>
      </w:pPr>
    </w:p>
    <w:p>
      <w:r>
        <w:rPr>
          <w:rFonts w:ascii="Calibri" w:hAnsi="Calibri"/>
        </w:rPr>
        <w:t>Le rôle du concessionnaire est un rôle de suivi : aucune action d’acceptation ou de rejet n’est disponible dans cet espace, car l’instruction relève de la banque. L’accès est protégé par l’appartenance du produit : le service ne retourne que les demandes associées aux produits du concessionnaire connecté. Les notifications et l’e-mail de décision sont adressés au client ; le concessionnaire constate la mise à jour par son tableau de suivi. Ce cloisonnement protège les données du dossier et préserve l’autorité de décision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Suivi concessionnaire des demandes de financement</w:t>
            </w:r>
          </w:p>
          <w:p>
            <w:pPr>
              <w:jc w:val="center"/>
            </w:pPr>
            <w:r>
              <w:rPr>
                <w:rFonts w:ascii="Calibri" w:hAnsi="Calibri"/>
                <w:i/>
                <w:color w:val="5B6573"/>
                <w:sz w:val="18"/>
              </w:rPr>
              <w:t>Insérer la liste des demandes avec les indicateurs, les filtres banque/statut et l’ouverture du détail d’un dossier lié à un produit du concessionnaire.</w:t>
            </w:r>
          </w:p>
        </w:tc>
      </w:tr>
    </w:tbl>
    <w:p>
      <w:pPr>
        <w:spacing w:after="40"/>
      </w:pPr>
    </w:p>
    <w:p>
      <w:pPr>
        <w:pStyle w:val="Caption"/>
        <w:jc w:val="center"/>
      </w:pPr>
      <w:r>
        <w:rPr>
          <w:rFonts w:ascii="Calibri" w:hAnsi="Calibri"/>
          <w:i/>
          <w:color w:val="5B6573"/>
          <w:sz w:val="18"/>
        </w:rPr>
        <w:t>Capture 5.6 - Suivi concessionnaire des demandes de financement.</w:t>
      </w:r>
    </w:p>
    <w:p>
      <w:pPr>
        <w:pStyle w:val="Heading2"/>
      </w:pPr>
      <w:r>
        <w:rPr>
          <w:rFonts w:ascii="Calibri" w:hAnsi="Calibri"/>
        </w:rPr>
        <w:t>5.5 Parcours client et demande de financement</w:t>
      </w:r>
    </w:p>
    <w:p>
      <w:pPr>
        <w:pStyle w:val="Heading3"/>
      </w:pPr>
      <w:r>
        <w:rPr>
          <w:rFonts w:ascii="Calibri" w:hAnsi="Calibri"/>
        </w:rPr>
        <w:t>5.5.1 Inscription du client et activation du compte</w:t>
      </w:r>
    </w:p>
    <w:p>
      <w:r>
        <w:rPr>
          <w:rFonts w:ascii="Calibri" w:hAnsi="Calibri"/>
        </w:rPr>
        <w:t>Lorsqu’un visiteur souhaite déposer une demande de financement sans être connecté, il est orienté vers le formulaire « Créer mon compte client ». L’inscription doit être effectuée depuis une marketplace bancaire : le contexte du tenant, porté par le slug de la banque, rattache le futur compte à la banque concernée et empêche une inscription hors de cet espace.</w:t>
      </w:r>
    </w:p>
    <w:p>
      <w:r>
        <w:rPr>
          <w:rFonts w:ascii="Calibri" w:hAnsi="Calibri"/>
        </w:rPr>
        <w:t>Le formulaire recueille le nom complet, l’adresse e-mail, le téléphone, la date de naissance, l’adresse postale, le mot de passe et sa confirmation. Une photo de profil peut également être ajoutée au format JPG, PNG ou WEBP. Les contrôles vérifient la présence et le format des informations, la longueur minimale du mot de passe, la concordance de sa confirmation ainsi que l’unicité de l’adresse e-mail.</w:t>
      </w:r>
    </w:p>
    <w:p>
      <w:r>
        <w:rPr>
          <w:rFonts w:ascii="Calibri" w:hAnsi="Calibri"/>
        </w:rPr>
        <w:t>Après validation, la plateforme enregistre une inscription en attente et envoie un code de vérification à six chiffres. Ce code est à usage unique et expire après dix minutes ; un renvoi contrôlé est proposé lorsque nécessaire. Seule la validation du code crée le compte actif avec le rôle CLIENT et le rattachement à la banque. Le client peut alors se connecter puis reprendre le parcours de demande de financement initié depuis le simulateur ou la fiche produit.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Inscription et vérification d’un compte client</w:t>
            </w:r>
          </w:p>
          <w:p>
            <w:pPr>
              <w:jc w:val="center"/>
            </w:pPr>
            <w:r>
              <w:rPr>
                <w:rFonts w:ascii="Calibri" w:hAnsi="Calibri"/>
                <w:i/>
                <w:color w:val="5B6573"/>
                <w:sz w:val="18"/>
              </w:rPr>
              <w:t>Insérer le formulaire d’inscription dans le contexte de la marketplace, puis l’écran de saisie du code de vérification envoyé par e-mail.</w:t>
            </w:r>
          </w:p>
        </w:tc>
      </w:tr>
    </w:tbl>
    <w:p>
      <w:pPr>
        <w:spacing w:after="40"/>
      </w:pPr>
    </w:p>
    <w:p>
      <w:pPr>
        <w:pStyle w:val="Caption"/>
        <w:jc w:val="center"/>
      </w:pPr>
      <w:r>
        <w:rPr>
          <w:rFonts w:ascii="Calibri" w:hAnsi="Calibri"/>
          <w:i/>
          <w:color w:val="5B6573"/>
          <w:sz w:val="18"/>
        </w:rPr>
        <w:t>Capture 5.7 - Inscription et vérification d’un compte client.</w:t>
      </w:r>
    </w:p>
    <w:p>
      <w:pPr>
        <w:pStyle w:val="Heading3"/>
      </w:pPr>
      <w:r>
        <w:rPr>
          <w:rFonts w:ascii="Calibri" w:hAnsi="Calibri"/>
        </w:rPr>
        <w:t>5.5.2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5.5.3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12" name="Picture 12"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22"/>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5.5.4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déclenche la réservation du stock ; le statut est alors visible dans le suivi du concessionnaire.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13" name="Picture 13"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23"/>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5.8 -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5.9 -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5.10</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5.10 - Instruction bancaire et décision motivée.</w:t>
      </w:r>
    </w:p>
    <w:p>
      <w:pPr>
        <w:pStyle w:val="Heading2"/>
      </w:pPr>
      <w:r>
        <w:rPr>
          <w:rFonts w:ascii="Calibri" w:hAnsi="Calibri"/>
        </w:rPr>
        <w:t>5.6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14" name="Picture 14"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5.6.1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15" name="Picture 15"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24"/>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5.6.2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5.11</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5.11 - Réponse valide et refus sécurisé de l’assistant IA.</w:t>
      </w:r>
    </w:p>
    <w:p>
      <w:pPr>
        <w:pStyle w:val="Heading2"/>
      </w:pPr>
      <w:r>
        <w:rPr>
          <w:rFonts w:ascii="Calibri" w:hAnsi="Calibri"/>
        </w:rPr>
        <w:t>5.7 Conclusion</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Chapitres 4 et 5 — Matchia</dc:title>
  <dc:subject>Réalisation SaaS bancaire, parcours concessionnaire, financement et assistant IA</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