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2E74B5"/>
          <w:sz w:val="22"/>
        </w:rPr>
        <w:t>MÉMOIRE DE FIN D’ÉTUDES</w:t>
      </w:r>
    </w:p>
    <w:p>
      <w:pPr>
        <w:spacing w:before="320" w:after="200"/>
        <w:jc w:val="center"/>
      </w:pPr>
      <w:r>
        <w:rPr>
          <w:rFonts w:ascii="Calibri" w:hAnsi="Calibri"/>
          <w:b/>
          <w:color w:val="0B2545"/>
          <w:sz w:val="48"/>
        </w:rPr>
        <w:t>Conception, développement et déploiement d’une plateforme SaaS multi-tenant pour la gestion de marketplaces bancaires avec mise en place d’un pipeline CI/CD</w:t>
      </w:r>
    </w:p>
    <w:p>
      <w:pPr>
        <w:spacing w:before="400"/>
        <w:jc w:val="center"/>
      </w:pPr>
      <w:r>
        <w:rPr>
          <w:rFonts w:ascii="Calibri" w:hAnsi="Calibri"/>
          <w:b w:val="0"/>
          <w:color w:val="1F4D78"/>
          <w:sz w:val="30"/>
        </w:rPr>
        <w:t>Chapitres 4 et 5 : réalisation fonctionnelle et parcours métier</w:t>
      </w:r>
    </w:p>
    <w:p/>
    <w:p/>
    <w:p/>
    <w:p/>
    <w:p/>
    <w:p/>
    <w:p/>
    <w:p>
      <w:pPr>
        <w:jc w:val="center"/>
      </w:pPr>
      <w:r>
        <w:rPr>
          <w:rFonts w:ascii="Calibri" w:hAnsi="Calibri"/>
          <w:i/>
          <w:color w:val="5B6573"/>
          <w:sz w:val="22"/>
        </w:rPr>
        <w:t>Plateforme Matchia | Version documentaire</w:t>
      </w:r>
    </w:p>
    <w:p>
      <w:r>
        <w:br w:type="page"/>
      </w:r>
    </w:p>
    <w:p>
      <w:pPr>
        <w:pStyle w:val="Heading1"/>
      </w:pPr>
      <w:r>
        <w:rPr>
          <w:rFonts w:ascii="Calibri" w:hAnsi="Calibri"/>
        </w:rPr>
        <w:t>Chapitre 4 — Réalisation complète de la plateforme Matchia : de la demande de marketplace aux espaces métier</w:t>
      </w:r>
    </w:p>
    <w:p>
      <w:r>
        <w:rPr>
          <w:rFonts w:ascii="Calibri" w:hAnsi="Calibri"/>
        </w:rPr>
        <w:t>Ce chapitre décrit le fonctionnement réel de Matchia à partir des routes React, des services front-end, des contrôleurs Spring Boot et des services métier du projet. La plateforme repose sur une application SaaS unique, contextualisée par tenant : une banque formule une demande, le SaaS l’instruit, le paiement déclenche l’activation, puis la banque administre sa marketplace, ses stores et ses modules. Les parcours concessionnaire, client et financement restent rattachés à cette marketplace active.</w:t>
      </w:r>
    </w:p>
    <w:p>
      <w:r>
        <w:rPr>
          <w:rFonts w:ascii="Calibri" w:hAnsi="Calibri"/>
        </w:rPr>
        <w:t>Les composants techniques qui portent ce cycle sont notamment JoinPage et requestService côté client, JoinRequestController / RequestController et RequestService côté serveur, puis PaymentController / PaymentService, SubscriptionController / SubscriptionService et BankAdminCredentialsService. La traçabilité est complétée par NotificationService, EmailService et l’audit asynchrone exposé dans le back-office SaaS.</w:t>
      </w:r>
    </w:p>
    <w:p>
      <w:pPr>
        <w:pStyle w:val="Heading2"/>
      </w:pPr>
      <w:r>
        <w:rPr>
          <w:rFonts w:ascii="Calibri" w:hAnsi="Calibri"/>
        </w:rPr>
        <w:t>4.1 Socle d’identité, de sécurité et de contexte tenant</w:t>
      </w:r>
    </w:p>
    <w:p>
      <w:r>
        <w:rPr>
          <w:rFonts w:ascii="Calibri" w:hAnsi="Calibri"/>
        </w:rPr>
        <w:t>Le socle commun de Matchia garantit que les fonctions décrites dans les sections suivantes s’exécutent dans un contexte sécurisé et correctement isolé. L’authentification s’appuie sur un jeton JWT d’accès, un mécanisme de rafraîchissement de session, la déconnexion, la récupération et la réinitialisation de mot de passe, ainsi que la consultation du profil connecté. Les routes React sont protégées et le contrôle d’autorisation est également appliqué côté back-end.</w:t>
      </w:r>
    </w:p>
    <w:p>
      <w:r>
        <w:rPr>
          <w:rFonts w:ascii="Calibri" w:hAnsi="Calibri"/>
        </w:rPr>
        <w:t>Quatre rôles structurent les espaces de la plateforme : ADMIN_SAAS, ADMIN_BANK, DEALER_ADMIN et CLIENT. Chacun accède uniquement aux fonctionnalités de son périmètre. Le contexte tenant est conservé dans les routes de marketplace et synchronisé par TenantUrlSync ; une même application React et Spring Boot sert ainsi plusieurs banques sans mélange de leurs utilisateurs, contenus, stores, modules et données métier.</w:t>
      </w:r>
    </w:p>
    <w:p>
      <w:pPr>
        <w:pStyle w:val="ListBullet"/>
      </w:pPr>
      <w:r>
        <w:rPr>
          <w:rFonts w:ascii="Calibri" w:hAnsi="Calibri"/>
        </w:rPr>
        <w:t>Le SaaS administre le catalogue commun, les demandes, les banques, les abonnements et la gouvernance globale.</w:t>
      </w:r>
    </w:p>
    <w:p>
      <w:pPr>
        <w:pStyle w:val="ListBullet"/>
      </w:pPr>
      <w:r>
        <w:rPr>
          <w:rFonts w:ascii="Calibri" w:hAnsi="Calibri"/>
        </w:rPr>
        <w:t>L’administrateur bancaire exploite exclusivement la marketplace de sa banque, sous réserve que son compte et son abonnement soient actifs.</w:t>
      </w:r>
    </w:p>
    <w:p>
      <w:pPr>
        <w:pStyle w:val="ListBullet"/>
      </w:pPr>
      <w:r>
        <w:rPr>
          <w:rFonts w:ascii="Calibri" w:hAnsi="Calibri"/>
        </w:rPr>
        <w:t>Les concessionnaires et clients sont rattachés au tenant et aux règles de visibilité du store concerné.</w:t>
      </w:r>
    </w:p>
    <w:p>
      <w:pPr>
        <w:pStyle w:val="Heading2"/>
      </w:pPr>
      <w:r>
        <w:rPr>
          <w:rFonts w:ascii="Calibri" w:hAnsi="Calibri"/>
        </w:rPr>
        <w:t>4.2 Demande de création d’une marketplace bancaire</w:t>
      </w:r>
    </w:p>
    <w:p>
      <w:r>
        <w:rPr>
          <w:rFonts w:ascii="Calibri" w:hAnsi="Calibri"/>
        </w:rPr>
        <w:t>La demande publique est accessible depuis la route « /rejoindre ». Le composant JoinPage orchestre un formulaire à quatre étapes : Informations bancaires, Coordonnées, Boutiques &amp; Modules et Finalisation. Cette organisation évite de soumettre une demande incomplète et conserve un état de progression visible pour le demandeur.</w:t>
      </w:r>
    </w:p>
    <w:p>
      <w:pPr>
        <w:spacing w:before="120" w:after="60"/>
        <w:jc w:val="center"/>
      </w:pPr>
      <w:r>
        <w:drawing>
          <wp:inline xmlns:a="http://schemas.openxmlformats.org/drawingml/2006/main" xmlns:pic="http://schemas.openxmlformats.org/drawingml/2006/picture">
            <wp:extent cx="5715000" cy="2413000"/>
            <wp:docPr id="1" name="Picture 1" descr="Figure 4.1 — Workflow réel de création d’une demande de marketplace bancaire." title="Figure 4.1 — Workflow réel de création d’une demande de marketplace bancaire."/>
            <wp:cNvGraphicFramePr>
              <a:graphicFrameLocks noChangeAspect="1"/>
            </wp:cNvGraphicFramePr>
            <a:graphic>
              <a:graphicData uri="http://schemas.openxmlformats.org/drawingml/2006/picture">
                <pic:pic>
                  <pic:nvPicPr>
                    <pic:cNvPr id="0" name="fig_4_1_demande_marketplace.png"/>
                    <pic:cNvPicPr/>
                  </pic:nvPicPr>
                  <pic:blipFill>
                    <a:blip r:embed="rId11"/>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4.1 — Workflow réel de création d’une demande de marketplace bancaire.</w:t>
      </w:r>
    </w:p>
    <w:p>
      <w:r>
        <w:rPr>
          <w:rFonts w:ascii="Calibri" w:hAnsi="Calibri"/>
        </w:rPr>
        <w:t>La figure 4.1 résume le processus : la demande ne peut être envoyée qu’après vérification de l’adresse e-mail du contact et validation des sélections de stores et de modules. Les informations commerciales sont ensuite transmises dans la demande, y compris le détail des modules sélectionnés par store et leur prix.</w:t>
      </w:r>
    </w:p>
    <w:p>
      <w:pPr>
        <w:pStyle w:val="Heading3"/>
      </w:pPr>
      <w:r>
        <w:rPr>
          <w:rFonts w:ascii="Calibri" w:hAnsi="Calibri"/>
        </w:rPr>
        <w:t>4.2.1 Accès et informations bancaires</w:t>
      </w:r>
    </w:p>
    <w:p>
      <w:r>
        <w:rPr>
          <w:rFonts w:ascii="Calibri" w:hAnsi="Calibri"/>
        </w:rPr>
        <w:t>Le premier écran recueille le nom de la banque, son adresse e-mail et son numéro de téléphone tunisien, saisi avec le préfixe +216. Il propose également le site web, une description limitée à 1 000 caractères, l’année d’établissement et le téléversement obligatoire du logo. Les fichiers image admis pour ce logo sont PNG, JPG ou SVG, avec une taille maximale de 2 Mo dans l’interface publique.</w:t>
      </w:r>
    </w:p>
    <w:p>
      <w:r>
        <w:rPr>
          <w:rFonts w:ascii="Calibri" w:hAnsi="Calibri"/>
        </w:rPr>
        <w:t>Ces informations définissent l’identité de la future banque et sont contrôlées côté front puis côté serveur. Le back-end valide notamment le format du téléphone, la cohérence de l’année, l’unicité du slug de marketplace et la présence du logo dans le cas d’une demande de type join.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Accès à la demande de marketplace</w:t>
            </w:r>
          </w:p>
          <w:p>
            <w:pPr>
              <w:jc w:val="center"/>
            </w:pPr>
            <w:r>
              <w:rPr>
                <w:rFonts w:ascii="Calibri" w:hAnsi="Calibri"/>
                <w:i/>
                <w:color w:val="5B6573"/>
                <w:sz w:val="18"/>
              </w:rPr>
              <w:t>Insérer la page « Rejoindre Matchia » avec le stepper, puis le premier écran « Informations bancaires » renseigné avec des données de démonstration anonymisées.</w:t>
            </w:r>
          </w:p>
        </w:tc>
      </w:tr>
    </w:tbl>
    <w:p>
      <w:pPr>
        <w:spacing w:after="40"/>
      </w:pPr>
    </w:p>
    <w:p>
      <w:pPr>
        <w:pStyle w:val="Caption"/>
        <w:jc w:val="center"/>
      </w:pPr>
      <w:r>
        <w:rPr>
          <w:rFonts w:ascii="Calibri" w:hAnsi="Calibri"/>
          <w:i/>
          <w:color w:val="5B6573"/>
          <w:sz w:val="18"/>
        </w:rPr>
        <w:t>Capture 4.1 - Accès à la demande de marketplace.</w:t>
      </w:r>
    </w:p>
    <w:p>
      <w:pPr>
        <w:pStyle w:val="Heading3"/>
      </w:pPr>
      <w:r>
        <w:rPr>
          <w:rFonts w:ascii="Calibri" w:hAnsi="Calibri"/>
        </w:rPr>
        <w:t>4.2.2 Informations du futur administrateur bancaire et vérification e-mail</w:t>
      </w:r>
    </w:p>
    <w:p>
      <w:r>
        <w:rPr>
          <w:rFonts w:ascii="Calibri" w:hAnsi="Calibri"/>
        </w:rPr>
        <w:t>La deuxième étape porte sur le contact principal qui deviendra administrateur bancaire après activation : nom, prénom, adresse e-mail, numéro de téléphone tunisien et image du contact. L’image est obligatoire dans le formulaire ; les formats PNG, JPG, WEBP ou SVG sont acceptés, dans la limite de 2 Mo.</w:t>
      </w:r>
    </w:p>
    <w:p>
      <w:r>
        <w:rPr>
          <w:rFonts w:ascii="Calibri" w:hAnsi="Calibri"/>
        </w:rPr>
        <w:t>L’adresse du contact n’est pas seulement déclarative. Après contrôle des champs, Matchia envoie un code à six chiffres par e-mail. Le code est valable dix minutes et ne peut être consommé qu’une seule fois. Le demandeur le saisit dans l’interface ; un jeton de vérification est alors retourné et exigé lors de la création définitive de la demande. Un changement d’adresse e-mail annule l’état de vérification, et un délai de renvoi est appliqué dans l’interface.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Coordonnées du futur administrateur bancaire</w:t>
            </w:r>
          </w:p>
          <w:p>
            <w:pPr>
              <w:jc w:val="center"/>
            </w:pPr>
            <w:r>
              <w:rPr>
                <w:rFonts w:ascii="Calibri" w:hAnsi="Calibri"/>
                <w:i/>
                <w:color w:val="5B6573"/>
                <w:sz w:val="18"/>
              </w:rPr>
              <w:t>Insérer l’étape de coordonnées avec nom, prénom, e-mail, téléphone et zone de téléversement de l’image, sans données personnelles réelles.</w:t>
            </w:r>
          </w:p>
        </w:tc>
      </w:tr>
    </w:tbl>
    <w:p>
      <w:pPr>
        <w:spacing w:after="40"/>
      </w:pPr>
    </w:p>
    <w:p>
      <w:pPr>
        <w:pStyle w:val="Caption"/>
        <w:jc w:val="center"/>
      </w:pPr>
      <w:r>
        <w:rPr>
          <w:rFonts w:ascii="Calibri" w:hAnsi="Calibri"/>
          <w:i/>
          <w:color w:val="5B6573"/>
          <w:sz w:val="18"/>
        </w:rPr>
        <w:t>Capture 4.2 - Coordonnées du futur administrateur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Vérification de l’adresse e-mail du contact</w:t>
            </w:r>
          </w:p>
          <w:p>
            <w:pPr>
              <w:jc w:val="center"/>
            </w:pPr>
            <w:r>
              <w:rPr>
                <w:rFonts w:ascii="Calibri" w:hAnsi="Calibri"/>
                <w:i/>
                <w:color w:val="5B6573"/>
                <w:sz w:val="18"/>
              </w:rPr>
              <w:t>Insérer le bloc de saisie du code à six chiffres et l’état « Adresse e-mail vérifiée ». La capture existante de l’e-mail peut être utilisée uniquement après anonymisation de l’adresse et du code.</w:t>
            </w:r>
          </w:p>
        </w:tc>
      </w:tr>
    </w:tbl>
    <w:p>
      <w:pPr>
        <w:spacing w:after="40"/>
      </w:pPr>
    </w:p>
    <w:p>
      <w:pPr>
        <w:pStyle w:val="Caption"/>
        <w:jc w:val="center"/>
      </w:pPr>
      <w:r>
        <w:rPr>
          <w:rFonts w:ascii="Calibri" w:hAnsi="Calibri"/>
          <w:i/>
          <w:color w:val="5B6573"/>
          <w:sz w:val="18"/>
        </w:rPr>
        <w:t>Capture 4.3 - Vérification de l’adresse e-mail du contact.</w:t>
      </w:r>
    </w:p>
    <w:p>
      <w:pPr>
        <w:pStyle w:val="Heading3"/>
      </w:pPr>
      <w:r>
        <w:rPr>
          <w:rFonts w:ascii="Calibri" w:hAnsi="Calibri"/>
        </w:rPr>
        <w:t>4.2.3 Configuration initiale, sélection des stores et modules</w:t>
      </w:r>
    </w:p>
    <w:p>
      <w:r>
        <w:rPr>
          <w:rFonts w:ascii="Calibri" w:hAnsi="Calibri"/>
        </w:rPr>
        <w:t>La troisième étape réunit la configuration de la marketplace et la composition de l’offre. La banque renseigne un slug en minuscules, chiffres et tirets, une description limitée à 500 caractères, deux couleurs d’identité et une bannière obligatoire. Elle choisit ensuite au moins un store parmi le catalogue actif. Dans le jeu de données visible dans les captures du projet, les univers proposés sont mobile, médical, éducation, véhicule, immobilier et yassmine ; le catalogue reste administrable côté SaaS et n’est donc pas figé dans le code.</w:t>
      </w:r>
    </w:p>
    <w:p>
      <w:r>
        <w:rPr>
          <w:rFonts w:ascii="Calibri" w:hAnsi="Calibri"/>
        </w:rPr>
        <w:t>Après la sélection d’un store, l’application charge les modules actifs compatibles à travers l’association ModuleStore. Pour tout store qui possède des modules, au moins un module doit être sélectionné. Le choix est stocké par couple store–module, et non comme une liste globale : la demande conserve pour chaque store son libellé, son prix, les modules retenus, leur prix et, lorsqu’ils existent, leurs paramètres. Cette granularité permet ensuite de provisionner exactement les services achetés.</w:t>
      </w:r>
    </w:p>
    <w:p>
      <w:pPr>
        <w:pStyle w:val="ListBullet"/>
      </w:pPr>
      <w:r>
        <w:rPr>
          <w:rFonts w:ascii="Calibri" w:hAnsi="Calibri"/>
        </w:rPr>
        <w:t>Le module « bannière » est un module fonctionnel, non une page de navigation ; il autorise l’affichage des bannières propres au store.</w:t>
      </w:r>
    </w:p>
    <w:p>
      <w:pPr>
        <w:pStyle w:val="ListBullet"/>
      </w:pPr>
      <w:r>
        <w:rPr>
          <w:rFonts w:ascii="Calibri" w:hAnsi="Calibri"/>
        </w:rPr>
        <w:t>Le chatbot est également considéré comme un module fonctionnel et peut être rendu visible dans le contexte du store concerné.</w:t>
      </w:r>
    </w:p>
    <w:p>
      <w:pPr>
        <w:pStyle w:val="ListBullet"/>
      </w:pPr>
      <w:r>
        <w:rPr>
          <w:rFonts w:ascii="Calibri" w:hAnsi="Calibri"/>
        </w:rPr>
        <w:t>Les modules de comparaison et de simulation donnent accès aux routes publiques correspondantes uniquement lorsqu’ils sont associés et actifs pour le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 la marketplace et sélection des stores</w:t>
            </w:r>
          </w:p>
          <w:p>
            <w:pPr>
              <w:jc w:val="center"/>
            </w:pPr>
            <w:r>
              <w:rPr>
                <w:rFonts w:ascii="Calibri" w:hAnsi="Calibri"/>
                <w:i/>
                <w:color w:val="5B6573"/>
                <w:sz w:val="18"/>
              </w:rPr>
              <w:t>Insérer l’étape affichant le slug, les couleurs, la bannière et les cartes de stores sélectionnables.</w:t>
            </w:r>
          </w:p>
        </w:tc>
      </w:tr>
    </w:tbl>
    <w:p>
      <w:pPr>
        <w:spacing w:after="40"/>
      </w:pPr>
    </w:p>
    <w:p>
      <w:pPr>
        <w:pStyle w:val="Caption"/>
        <w:jc w:val="center"/>
      </w:pPr>
      <w:r>
        <w:rPr>
          <w:rFonts w:ascii="Calibri" w:hAnsi="Calibri"/>
          <w:i/>
          <w:color w:val="5B6573"/>
          <w:sz w:val="18"/>
        </w:rPr>
        <w:t>Capture 4.4 - Configuration de la marketplace et sélection des stores.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Sélection des modules par store</w:t>
            </w:r>
          </w:p>
          <w:p>
            <w:pPr>
              <w:jc w:val="center"/>
            </w:pPr>
            <w:r>
              <w:rPr>
                <w:rFonts w:ascii="Calibri" w:hAnsi="Calibri"/>
                <w:i/>
                <w:color w:val="5B6573"/>
                <w:sz w:val="18"/>
              </w:rPr>
              <w:t>Insérer le panneau d’un store choisi avec ses modules compatibles, leurs prix et les sélections associées.</w:t>
            </w:r>
          </w:p>
        </w:tc>
      </w:tr>
    </w:tbl>
    <w:p>
      <w:pPr>
        <w:spacing w:after="40"/>
      </w:pPr>
    </w:p>
    <w:p>
      <w:pPr>
        <w:pStyle w:val="Caption"/>
        <w:jc w:val="center"/>
      </w:pPr>
      <w:r>
        <w:rPr>
          <w:rFonts w:ascii="Calibri" w:hAnsi="Calibri"/>
          <w:i/>
          <w:color w:val="5B6573"/>
          <w:sz w:val="18"/>
        </w:rPr>
        <w:t>Capture 4.5 - Sélection des modules par store.</w:t>
      </w:r>
    </w:p>
    <w:p>
      <w:pPr>
        <w:pStyle w:val="Heading3"/>
      </w:pPr>
      <w:r>
        <w:rPr>
          <w:rFonts w:ascii="Calibri" w:hAnsi="Calibri"/>
        </w:rPr>
        <w:t>4.2.4 Récapitulatif, soumission et confirmation</w:t>
      </w:r>
    </w:p>
    <w:p>
      <w:r>
        <w:rPr>
          <w:rFonts w:ascii="Calibri" w:hAnsi="Calibri"/>
        </w:rPr>
        <w:t>La dernière étape affiche une synthèse avant envoi : identité bancaire, contact administrateur, informations de marketplace, stores, modules et montant mensuel calculé. Le service requestService envoie ensuite une requête multipart contenant les fichiers (logo, image du contact et bannière) ainsi que la représentation JSON des stores et modules. Le serveur crée une Request de type join avec le statut initial pending.</w:t>
      </w:r>
    </w:p>
    <w:p>
      <w:r>
        <w:rPr>
          <w:rFonts w:ascii="Calibri" w:hAnsi="Calibri"/>
        </w:rPr>
        <w:t>La création produit deux retours complémentaires : une notification système destinée au SaaS afin de signaler une demande à instruire, et un e-mail de confirmation destiné au contact de la banque. L’interface publique affiche enfin le message « Demande soumise avec succès » et invite le demandeur à revenir à l’accueil. À ce stade, aucune marketplace n’est publique et aucun compte bancaire n’est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Récapitulatif avant soumission</w:t>
            </w:r>
          </w:p>
          <w:p>
            <w:pPr>
              <w:jc w:val="center"/>
            </w:pPr>
            <w:r>
              <w:rPr>
                <w:rFonts w:ascii="Calibri" w:hAnsi="Calibri"/>
                <w:i/>
                <w:color w:val="5B6573"/>
                <w:sz w:val="18"/>
              </w:rPr>
              <w:t>Insérer la vue finale listant les informations de la banque, les stores, les modules et le montant total mensuel.</w:t>
            </w:r>
          </w:p>
        </w:tc>
      </w:tr>
    </w:tbl>
    <w:p>
      <w:pPr>
        <w:spacing w:after="40"/>
      </w:pPr>
    </w:p>
    <w:p>
      <w:pPr>
        <w:pStyle w:val="Caption"/>
        <w:jc w:val="center"/>
      </w:pPr>
      <w:r>
        <w:rPr>
          <w:rFonts w:ascii="Calibri" w:hAnsi="Calibri"/>
          <w:i/>
          <w:color w:val="5B6573"/>
          <w:sz w:val="18"/>
        </w:rPr>
        <w:t>Capture 4.6 - Récapitulatif avant soumission.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Confirmation de la demande de marketplace</w:t>
            </w:r>
          </w:p>
          <w:p>
            <w:pPr>
              <w:jc w:val="center"/>
            </w:pPr>
            <w:r>
              <w:rPr>
                <w:rFonts w:ascii="Calibri" w:hAnsi="Calibri"/>
                <w:i/>
                <w:color w:val="5B6573"/>
                <w:sz w:val="18"/>
              </w:rPr>
              <w:t>Insérer l’écran de confirmation après l’envoi. Il doit afficher le succès de la soumission sans révéler de données personnelles.</w:t>
            </w:r>
          </w:p>
        </w:tc>
      </w:tr>
    </w:tbl>
    <w:p>
      <w:pPr>
        <w:spacing w:after="40"/>
      </w:pPr>
    </w:p>
    <w:p>
      <w:pPr>
        <w:pStyle w:val="Caption"/>
        <w:jc w:val="center"/>
      </w:pPr>
      <w:r>
        <w:rPr>
          <w:rFonts w:ascii="Calibri" w:hAnsi="Calibri"/>
          <w:i/>
          <w:color w:val="5B6573"/>
          <w:sz w:val="18"/>
        </w:rPr>
        <w:t>Capture 4.7 - Confirmation de la demande de marketplace.</w:t>
      </w:r>
    </w:p>
    <w:p>
      <w:pPr>
        <w:pStyle w:val="Heading2"/>
      </w:pPr>
      <w:r>
        <w:rPr>
          <w:rFonts w:ascii="Calibri" w:hAnsi="Calibri"/>
        </w:rPr>
        <w:t>4.3 Back-office SaaS : instruction, pilotage et gouvernance</w:t>
      </w:r>
    </w:p>
    <w:p>
      <w:r>
        <w:rPr>
          <w:rFonts w:ascii="Calibri" w:hAnsi="Calibri"/>
        </w:rPr>
        <w:t>L’accès au back-office SaaS est protégé par rôle. Après authentification, l’administrateur SaaS dispose d’un tableau de bord consolidé et de routes dédiées aux banques, demandes, contenu, stores &amp; modules, marketplaces, offres &amp; abonnements, utilisateurs, concessionnaires, paramètres, audit et profil. Les notifications non lues sont également accessibles depuis le layout d’administration.</w:t>
      </w:r>
    </w:p>
    <w:p>
      <w:pPr>
        <w:spacing w:before="120" w:after="60"/>
        <w:jc w:val="center"/>
      </w:pPr>
      <w:r>
        <w:drawing>
          <wp:inline xmlns:a="http://schemas.openxmlformats.org/drawingml/2006/main" xmlns:pic="http://schemas.openxmlformats.org/drawingml/2006/picture">
            <wp:extent cx="5715000" cy="4256484"/>
            <wp:docPr id="2" name="Picture 2" descr="Figure 4.2 — Tableau de bord SaaS : banques actives, demandes, revenus, alertes et actions à traiter." title="Figure 4.2 — Tableau de bord SaaS : banques actives, demandes, revenus, alertes et actions à traiter."/>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banques actives, demandes, revenus, alertes et actions à traiter.</w:t>
      </w:r>
    </w:p>
    <w:p>
      <w:r>
        <w:rPr>
          <w:rFonts w:ascii="Calibri" w:hAnsi="Calibri"/>
        </w:rPr>
        <w:t>La figure 4.2 montre les indicateurs effectivement calculés dans l’espace SaaS : nombre de banques, demandes en attente, utilisateurs, stores actifs, revenu mensuel, distribution des marketplaces par store et alertes d’expiration. Le tableau de bord constitue donc un point de pilotage, tandis que les opérations de détail restent réalisées dans les écrans dédiés.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4F6F9"/>
          </w:tcPr>
          <w:p>
            <w:r>
              <w:rPr>
                <w:rFonts w:ascii="Calibri" w:hAnsi="Calibri"/>
                <w:b/>
                <w:color w:val="202124"/>
                <w:sz w:val="18"/>
              </w:rPr>
              <w:t>Espace SaaS</w:t>
            </w:r>
          </w:p>
        </w:tc>
        <w:tc>
          <w:tcPr>
            <w:tcW w:type="dxa" w:w="6860"/>
            <w:tcMar>
              <w:top w:w="80" w:type="dxa"/>
              <w:start w:w="120" w:type="dxa"/>
              <w:bottom w:w="80" w:type="dxa"/>
              <w:end w:w="120" w:type="dxa"/>
            </w:tcMar>
            <w:shd w:fill="F4F6F9"/>
          </w:tcPr>
          <w:p>
            <w:r>
              <w:rPr>
                <w:rFonts w:ascii="Calibri" w:hAnsi="Calibri"/>
                <w:b/>
                <w:color w:val="202124"/>
                <w:sz w:val="18"/>
              </w:rPr>
              <w:t>Fonctions réalisées</w:t>
            </w:r>
          </w:p>
        </w:tc>
      </w:tr>
      <w:tr>
        <w:tc>
          <w:tcPr>
            <w:tcW w:type="dxa" w:w="2500"/>
          </w:tcPr>
          <w:p>
            <w:r>
              <w:rPr>
                <w:rFonts w:ascii="Calibri" w:hAnsi="Calibri"/>
                <w:color w:val="202124"/>
                <w:sz w:val="18"/>
              </w:rPr>
              <w:t>Demandes</w:t>
            </w:r>
          </w:p>
        </w:tc>
        <w:tc>
          <w:tcPr>
            <w:tcW w:type="dxa" w:w="6860"/>
          </w:tcPr>
          <w:p>
            <w:r>
              <w:rPr>
                <w:rFonts w:ascii="Calibri" w:hAnsi="Calibri"/>
                <w:color w:val="202124"/>
                <w:sz w:val="18"/>
              </w:rPr>
              <w:t>Liste, recherche, consultation du détail, stores/modules retenus, approbation, rejet motivé et statut.</w:t>
            </w:r>
          </w:p>
        </w:tc>
      </w:tr>
      <w:tr>
        <w:tc>
          <w:tcPr>
            <w:tcW w:type="dxa" w:w="2500"/>
          </w:tcPr>
          <w:p>
            <w:r>
              <w:rPr>
                <w:rFonts w:ascii="Calibri" w:hAnsi="Calibri"/>
                <w:color w:val="202124"/>
                <w:sz w:val="18"/>
              </w:rPr>
              <w:t>Banques et marketplaces</w:t>
            </w:r>
          </w:p>
        </w:tc>
        <w:tc>
          <w:tcPr>
            <w:tcW w:type="dxa" w:w="6860"/>
          </w:tcPr>
          <w:p>
            <w:r>
              <w:rPr>
                <w:rFonts w:ascii="Calibri" w:hAnsi="Calibri"/>
                <w:color w:val="202124"/>
                <w:sz w:val="18"/>
              </w:rPr>
              <w:t>Consultation/gestion des banques, du tenant, du branding, des stores et des modules associés.</w:t>
            </w:r>
          </w:p>
        </w:tc>
      </w:tr>
      <w:tr>
        <w:tc>
          <w:tcPr>
            <w:tcW w:type="dxa" w:w="2500"/>
          </w:tcPr>
          <w:p>
            <w:r>
              <w:rPr>
                <w:rFonts w:ascii="Calibri" w:hAnsi="Calibri"/>
                <w:color w:val="202124"/>
                <w:sz w:val="18"/>
              </w:rPr>
              <w:t>Catalogue et offres</w:t>
            </w:r>
          </w:p>
        </w:tc>
        <w:tc>
          <w:tcPr>
            <w:tcW w:type="dxa" w:w="6860"/>
          </w:tcPr>
          <w:p>
            <w:r>
              <w:rPr>
                <w:rFonts w:ascii="Calibri" w:hAnsi="Calibri"/>
                <w:color w:val="202124"/>
                <w:sz w:val="18"/>
              </w:rPr>
              <w:t>Gestion du catalogue de stores, des modules et de leurs associations ; suivi des offres, abonnements et paiements.</w:t>
            </w:r>
          </w:p>
        </w:tc>
      </w:tr>
      <w:tr>
        <w:tc>
          <w:tcPr>
            <w:tcW w:type="dxa" w:w="2500"/>
          </w:tcPr>
          <w:p>
            <w:r>
              <w:rPr>
                <w:rFonts w:ascii="Calibri" w:hAnsi="Calibri"/>
                <w:color w:val="202124"/>
                <w:sz w:val="18"/>
              </w:rPr>
              <w:t>Gouvernance</w:t>
            </w:r>
          </w:p>
        </w:tc>
        <w:tc>
          <w:tcPr>
            <w:tcW w:type="dxa" w:w="6860"/>
          </w:tcPr>
          <w:p>
            <w:r>
              <w:rPr>
                <w:rFonts w:ascii="Calibri" w:hAnsi="Calibri"/>
                <w:color w:val="202124"/>
                <w:sz w:val="18"/>
              </w:rPr>
              <w:t>Utilisateurs, demandes concessionnaires, notifications, journal d’audit et export CSV des logs.</w:t>
            </w:r>
          </w:p>
        </w:tc>
      </w:tr>
      <w:tr>
        <w:tc>
          <w:tcPr>
            <w:tcW w:type="dxa" w:w="2500"/>
          </w:tcPr>
          <w:p>
            <w:r>
              <w:rPr>
                <w:rFonts w:ascii="Calibri" w:hAnsi="Calibri"/>
                <w:color w:val="202124"/>
                <w:sz w:val="18"/>
              </w:rPr>
              <w:t>Aide à l’analyse</w:t>
            </w:r>
          </w:p>
        </w:tc>
        <w:tc>
          <w:tcPr>
            <w:tcW w:type="dxa" w:w="6860"/>
          </w:tcPr>
          <w:p>
            <w:r>
              <w:rPr>
                <w:rFonts w:ascii="Calibri" w:hAnsi="Calibri"/>
                <w:color w:val="202124"/>
                <w:sz w:val="18"/>
              </w:rPr>
              <w:t>Widget d’assistant IA réservé à l’administrateur SaaS, limité aux analyses autorisées en lecture seule.</w:t>
            </w:r>
          </w:p>
        </w:tc>
      </w:tr>
    </w:tbl>
    <w:p>
      <w:pPr>
        <w:spacing w:after="60"/>
      </w:pPr>
    </w:p>
    <w:p>
      <w:pPr>
        <w:pStyle w:val="Heading3"/>
      </w:pPr>
      <w:r>
        <w:rPr>
          <w:rFonts w:ascii="Calibri" w:hAnsi="Calibri"/>
        </w:rPr>
        <w:t>4.3.1 Traitement d’une demande de marketplace</w:t>
      </w:r>
    </w:p>
    <w:p>
      <w:r>
        <w:rPr>
          <w:rFonts w:ascii="Calibri" w:hAnsi="Calibri"/>
        </w:rPr>
        <w:t>Le traitement suit la chaîne Demande soumise → Consultation SaaS → Analyse → Approbation ou rejet. La fiche de demande expose les informations bancaires, le contact, le slug et la description de marketplace, les couleurs, les fichiers d’identité ainsi que les stores et modules demandés. L’administrateur peut donc comparer l’offre demandée avec le catalogue et vérifier sa cohérence avant décision.</w:t>
      </w:r>
    </w:p>
    <w:p>
      <w:r>
        <w:rPr>
          <w:rFonts w:ascii="Calibri" w:hAnsi="Calibri"/>
        </w:rPr>
        <w:t>Un rejet positionne la demande à rejected, conserve le motif de rejet, produit une entrée d’audit et crée une notification. Pour une demande join, le service e-mail envoie un message de rejet contenant le motif fourni. Une demande déjà approuvée ne peut ensuite plus être rejetée, et une demande rejetée ne peut plus être approuvée : les transitions sont contrôlées par RequestService.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SaaS des demandes de marketplace</w:t>
            </w:r>
          </w:p>
          <w:p>
            <w:pPr>
              <w:jc w:val="center"/>
            </w:pPr>
            <w:r>
              <w:rPr>
                <w:rFonts w:ascii="Calibri" w:hAnsi="Calibri"/>
                <w:i/>
                <w:color w:val="5B6573"/>
                <w:sz w:val="18"/>
              </w:rPr>
              <w:t>Insérer la liste des demandes avec les filtres ou statuts visibles, sans coordonnées de contact réelles.</w:t>
            </w:r>
          </w:p>
        </w:tc>
      </w:tr>
    </w:tbl>
    <w:p>
      <w:pPr>
        <w:spacing w:after="40"/>
      </w:pPr>
    </w:p>
    <w:p>
      <w:pPr>
        <w:pStyle w:val="Caption"/>
        <w:jc w:val="center"/>
      </w:pPr>
      <w:r>
        <w:rPr>
          <w:rFonts w:ascii="Calibri" w:hAnsi="Calibri"/>
          <w:i/>
          <w:color w:val="5B6573"/>
          <w:sz w:val="18"/>
        </w:rPr>
        <w:t>Capture 4.8 - Liste SaaS des demandes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Détail SaaS d’une demande de marketplace</w:t>
            </w:r>
          </w:p>
          <w:p>
            <w:pPr>
              <w:jc w:val="center"/>
            </w:pPr>
            <w:r>
              <w:rPr>
                <w:rFonts w:ascii="Calibri" w:hAnsi="Calibri"/>
                <w:i/>
                <w:color w:val="5B6573"/>
                <w:sz w:val="18"/>
              </w:rPr>
              <w:t>Insérer la fiche détaillée : banque, marketplace, stores, modules et montant. Masquer les e-mails, numéros et pièces jointes sensibles.</w:t>
            </w:r>
          </w:p>
        </w:tc>
      </w:tr>
    </w:tbl>
    <w:p>
      <w:pPr>
        <w:spacing w:after="40"/>
      </w:pPr>
    </w:p>
    <w:p>
      <w:pPr>
        <w:pStyle w:val="Caption"/>
        <w:jc w:val="center"/>
      </w:pPr>
      <w:r>
        <w:rPr>
          <w:rFonts w:ascii="Calibri" w:hAnsi="Calibri"/>
          <w:i/>
          <w:color w:val="5B6573"/>
          <w:sz w:val="18"/>
        </w:rPr>
        <w:t>Capture 4.9 - Détail SaaS d’une demande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Décision d’approbation ou de rejet</w:t>
            </w:r>
          </w:p>
          <w:p>
            <w:pPr>
              <w:jc w:val="center"/>
            </w:pPr>
            <w:r>
              <w:rPr>
                <w:rFonts w:ascii="Calibri" w:hAnsi="Calibri"/>
                <w:i/>
                <w:color w:val="5B6573"/>
                <w:sz w:val="18"/>
              </w:rPr>
              <w:t>Insérer la fenêtre ou l’action de décision, incluant le champ du motif de rejet lorsqu’il est affiché.</w:t>
            </w:r>
          </w:p>
        </w:tc>
      </w:tr>
    </w:tbl>
    <w:p>
      <w:pPr>
        <w:spacing w:after="40"/>
      </w:pPr>
    </w:p>
    <w:p>
      <w:pPr>
        <w:pStyle w:val="Caption"/>
        <w:jc w:val="center"/>
      </w:pPr>
      <w:r>
        <w:rPr>
          <w:rFonts w:ascii="Calibri" w:hAnsi="Calibri"/>
          <w:i/>
          <w:color w:val="5B6573"/>
          <w:sz w:val="18"/>
        </w:rPr>
        <w:t>Capture 4.10 - Décision d’approbation ou de rejet.</w:t>
      </w:r>
    </w:p>
    <w:p>
      <w:pPr>
        <w:pStyle w:val="Heading3"/>
      </w:pPr>
      <w:r>
        <w:rPr>
          <w:rFonts w:ascii="Calibri" w:hAnsi="Calibri"/>
        </w:rPr>
        <w:t>4.3.2 Approbation, paiement et activation conditionnelle</w:t>
      </w:r>
    </w:p>
    <w:p>
      <w:r>
        <w:rPr>
          <w:rFonts w:ascii="Calibri" w:hAnsi="Calibri"/>
        </w:rPr>
        <w:t>L’approbation d’une demande join ne rend pas immédiatement le tenant exploitable. Elle provisionne la banque, la marketplace, le futur administrateur ainsi que les associations MarketplaceStore et MarketplaceStoreModule, mais ces objets restent inactifs tant que le paiement n’est pas confirmé. La demande passe à approved, une notification d’approbation est créée et un e-mail d’instructions de paiement contenant le lien de règlement est envoyé au contact.</w:t>
      </w:r>
    </w:p>
    <w:p>
      <w:pPr>
        <w:spacing w:before="120" w:after="60"/>
        <w:jc w:val="center"/>
      </w:pPr>
      <w:r>
        <w:drawing>
          <wp:inline xmlns:a="http://schemas.openxmlformats.org/drawingml/2006/main" xmlns:pic="http://schemas.openxmlformats.org/drawingml/2006/picture">
            <wp:extent cx="5715000" cy="3048000"/>
            <wp:docPr id="3" name="Picture 3" descr="Figure 4.3 — Diagramme de séquence : approbation SaaS, paiement et activation contrôlée." title="Figure 4.3 — Diagramme de séquence : approbation SaaS, paiement et activation contrôlée."/>
            <wp:cNvGraphicFramePr>
              <a:graphicFrameLocks noChangeAspect="1"/>
            </wp:cNvGraphicFramePr>
            <a:graphic>
              <a:graphicData uri="http://schemas.openxmlformats.org/drawingml/2006/picture">
                <pic:pic>
                  <pic:nvPicPr>
                    <pic:cNvPr id="0" name="fig_4_2_approbation_activation.png"/>
                    <pic:cNvPicPr/>
                  </pic:nvPicPr>
                  <pic:blipFill>
                    <a:blip r:embed="rId13"/>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4.3 — Diagramme de séquence : approbation SaaS, paiement et activation contrôlée.</w:t>
      </w:r>
    </w:p>
    <w:p>
      <w:r>
        <w:rPr>
          <w:rFonts w:ascii="Calibri" w:hAnsi="Calibri"/>
        </w:rPr>
        <w:t>La figure 4.3 met en évidence la règle de sécurité métier : l’activation n’est pas une conséquence de l’approbation seule. Elle intervient seulement lorsque PaymentService obtient un état paid. À ce moment, la banque, la marketplace et le compte ADMIN_BANK sont activés ; l’abonnement passe à ACTIVE ; les notifications de paiement sont créées et BankAdminCredentialsService génère un mot de passe temporaire avant l’envoi de l’e-mail d’identifiants du back-office bancaire.</w:t>
      </w:r>
    </w:p>
    <w:p>
      <w:pPr>
        <w:pStyle w:val="Heading3"/>
      </w:pPr>
      <w:r>
        <w:rPr>
          <w:rFonts w:ascii="Calibri" w:hAnsi="Calibri"/>
        </w:rPr>
        <w:t>4.3.3 Paiement Stripe et suivi de l’abonnement</w:t>
      </w:r>
    </w:p>
    <w:p>
      <w:r>
        <w:rPr>
          <w:rFonts w:ascii="Calibri" w:hAnsi="Calibri"/>
        </w:rPr>
        <w:t>Le contrôleur de paiement expose les deux mécanismes utilisés par Matchia : Payment Intent et Checkout Session Stripe. Une opération de paiement est créée avec le statut pending, le montant, la devise, la référence de demande et l’abonnement correspondant. Le lien de Checkout est conservé lorsqu’il est généré. La confirmation relit l’état du prestataire et vérifie, pour une session réglée, le montant et la devise attendus avant de poursuivre le workflow d’activation.</w:t>
      </w:r>
    </w:p>
    <w:p>
      <w:r>
        <w:rPr>
          <w:rFonts w:ascii="Calibri" w:hAnsi="Calibri"/>
        </w:rPr>
        <w:t>Les états de paiement implémentés sont pending, paid, cancelled et failed. Dans le flux Payment Intent, « succeeded » est mappé vers paid, « canceled » vers cancelled et « requires_payment_method » vers failed ; les autres cas restent pending. Cette modélisation permet au SaaS de distinguer une attente, une annulation et un échec au lieu de traiter tout retour non réussi comme une activation.</w:t>
      </w:r>
    </w:p>
    <w:p>
      <w:r>
        <w:rPr>
          <w:rFonts w:ascii="Calibri" w:hAnsi="Calibri"/>
        </w:rPr>
        <w:t>L’abonnement créé pour une demande est d’abord PENDING_PAYMENT. Après paiement confirmé, il devient ACTIVE et sa période annuelle est calculée. Le service planifié de synchronisation gère les échéances, marque les abonnements expirés et produit les alertes des sept jours précédant l’expiration ; un e-mail de rappel est prévu par EmailService. Les abonnements et paiements constituent donc une piste d’historique commerciale et non une simple variable de visibilité.</w:t>
      </w:r>
    </w:p>
    <w:p>
      <w:pPr>
        <w:spacing w:before="120" w:after="60"/>
        <w:jc w:val="center"/>
      </w:pPr>
      <w:r>
        <w:drawing>
          <wp:inline xmlns:a="http://schemas.openxmlformats.org/drawingml/2006/main" xmlns:pic="http://schemas.openxmlformats.org/drawingml/2006/picture">
            <wp:extent cx="5715000" cy="2159000"/>
            <wp:docPr id="4" name="Picture 4" descr="Figure 4.4 — États de l’abonnement et contrôle des accès tenant." title="Figure 4.4 — États de l’abonnement et contrôle des accès tenant."/>
            <wp:cNvGraphicFramePr>
              <a:graphicFrameLocks noChangeAspect="1"/>
            </wp:cNvGraphicFramePr>
            <a:graphic>
              <a:graphicData uri="http://schemas.openxmlformats.org/drawingml/2006/picture">
                <pic:pic>
                  <pic:nvPicPr>
                    <pic:cNvPr id="0" name="fig_4_3_etats_abonnement.png"/>
                    <pic:cNvPicPr/>
                  </pic:nvPicPr>
                  <pic:blipFill>
                    <a:blip r:embed="rId14"/>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4.4 — États de l’abonnement et contrôle des accès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Notification et e-mail d’instructions de paiement</w:t>
            </w:r>
          </w:p>
          <w:p>
            <w:pPr>
              <w:jc w:val="center"/>
            </w:pPr>
            <w:r>
              <w:rPr>
                <w:rFonts w:ascii="Calibri" w:hAnsi="Calibri"/>
                <w:i/>
                <w:color w:val="5B6573"/>
                <w:sz w:val="18"/>
              </w:rPr>
              <w:t>Insérer la notification SaaS ou banque et l’e-mail de paiement après anonymisation des destinataires, liens, identifiants et montants de test.</w:t>
            </w:r>
          </w:p>
        </w:tc>
      </w:tr>
    </w:tbl>
    <w:p>
      <w:pPr>
        <w:spacing w:after="40"/>
      </w:pPr>
    </w:p>
    <w:p>
      <w:pPr>
        <w:pStyle w:val="Caption"/>
        <w:jc w:val="center"/>
      </w:pPr>
      <w:r>
        <w:rPr>
          <w:rFonts w:ascii="Calibri" w:hAnsi="Calibri"/>
          <w:i/>
          <w:color w:val="5B6573"/>
          <w:sz w:val="18"/>
        </w:rPr>
        <w:t>Capture 4.11 - Notification et e-mail d’instructions de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Paiement et confirmation de retour</w:t>
            </w:r>
          </w:p>
          <w:p>
            <w:pPr>
              <w:jc w:val="center"/>
            </w:pPr>
            <w:r>
              <w:rPr>
                <w:rFonts w:ascii="Calibri" w:hAnsi="Calibri"/>
                <w:i/>
                <w:color w:val="5B6573"/>
                <w:sz w:val="18"/>
              </w:rPr>
              <w:t>Insérer l’écran de paiement ou la page de succès/annulation sans clé API, numéro de carte, identifiant Stripe ni secret.</w:t>
            </w:r>
          </w:p>
        </w:tc>
      </w:tr>
    </w:tbl>
    <w:p>
      <w:pPr>
        <w:spacing w:after="40"/>
      </w:pPr>
    </w:p>
    <w:p>
      <w:pPr>
        <w:pStyle w:val="Caption"/>
        <w:jc w:val="center"/>
      </w:pPr>
      <w:r>
        <w:rPr>
          <w:rFonts w:ascii="Calibri" w:hAnsi="Calibri"/>
          <w:i/>
          <w:color w:val="5B6573"/>
          <w:sz w:val="18"/>
        </w:rPr>
        <w:t>Capture 4.12 - Paiement et confirmation de retour.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Marketplace, abonnement et compte bancaire activés</w:t>
            </w:r>
          </w:p>
          <w:p>
            <w:pPr>
              <w:jc w:val="center"/>
            </w:pPr>
            <w:r>
              <w:rPr>
                <w:rFonts w:ascii="Calibri" w:hAnsi="Calibri"/>
                <w:i/>
                <w:color w:val="5B6573"/>
                <w:sz w:val="18"/>
              </w:rPr>
              <w:t>Insérer une preuve visuelle post-paiement : statut actif de la banque ou marketplace, puis l’abonnement créé. L’e-mail d’identifiants doit être anonymisé.</w:t>
            </w:r>
          </w:p>
        </w:tc>
      </w:tr>
    </w:tbl>
    <w:p>
      <w:pPr>
        <w:spacing w:after="40"/>
      </w:pPr>
    </w:p>
    <w:p>
      <w:pPr>
        <w:pStyle w:val="Caption"/>
        <w:jc w:val="center"/>
      </w:pPr>
      <w:r>
        <w:rPr>
          <w:rFonts w:ascii="Calibri" w:hAnsi="Calibri"/>
          <w:i/>
          <w:color w:val="5B6573"/>
          <w:sz w:val="18"/>
        </w:rPr>
        <w:t>Capture 4.13 - Marketplace, abonnement et compte bancaire activés.</w:t>
      </w:r>
    </w:p>
    <w:p>
      <w:pPr>
        <w:pStyle w:val="Heading2"/>
      </w:pPr>
      <w:r>
        <w:rPr>
          <w:rFonts w:ascii="Calibri" w:hAnsi="Calibri"/>
        </w:rPr>
        <w:t>4.4 Back-office Banque : exploitation d’un tenant actif</w:t>
      </w:r>
    </w:p>
    <w:p>
      <w:r>
        <w:rPr>
          <w:rFonts w:ascii="Calibri" w:hAnsi="Calibri"/>
        </w:rPr>
        <w:t>Prérequis : marketplace active et abonnement valide. L’authentification tenant conserve le contexte de banque dans l’URL (slug ou paramètre tenant) et les routes protégées contrôlent le rôle ADMIN_BANK. Le tableau de bord bancaire donne une vue des utilisateurs, stores, modules, demandes et autres indicateurs propres à la marketplace courante. L’espace permet ensuite de gérer le profil, les utilisateurs, les produits, les contenus, le branding, les concessionnaires, les demandes de financement, les paramètres et les notifications.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Tableau de bord du tenant bancaire</w:t>
            </w:r>
          </w:p>
          <w:p>
            <w:pPr>
              <w:jc w:val="center"/>
            </w:pPr>
            <w:r>
              <w:rPr>
                <w:rFonts w:ascii="Calibri" w:hAnsi="Calibri"/>
                <w:i/>
                <w:color w:val="5B6573"/>
                <w:sz w:val="18"/>
              </w:rPr>
              <w:t>Insérer le tableau de bord banque montrant utilisateurs, stores, modules et demandes, après masquage de l’adresse e-mail, de la photo et des autres données personnelles du compte de démonstration.</w:t>
            </w:r>
          </w:p>
        </w:tc>
      </w:tr>
    </w:tbl>
    <w:p>
      <w:pPr>
        <w:spacing w:after="40"/>
      </w:pPr>
    </w:p>
    <w:p>
      <w:pPr>
        <w:pStyle w:val="Caption"/>
        <w:jc w:val="center"/>
      </w:pPr>
      <w:r>
        <w:rPr>
          <w:rFonts w:ascii="Calibri" w:hAnsi="Calibri"/>
          <w:i/>
          <w:color w:val="5B6573"/>
          <w:sz w:val="18"/>
        </w:rPr>
        <w:t>Capture 4.14 - Tableau de bord du tenant bancaire.</w:t>
      </w:r>
    </w:p>
    <w:p>
      <w:pPr>
        <w:pStyle w:val="Heading3"/>
      </w:pPr>
      <w:r>
        <w:rPr>
          <w:rFonts w:ascii="Calibri" w:hAnsi="Calibri"/>
        </w:rPr>
        <w:t>4.4.1 Personnalisation de la marketplace</w:t>
      </w:r>
    </w:p>
    <w:p>
      <w:r>
        <w:rPr>
          <w:rFonts w:ascii="Calibri" w:hAnsi="Calibri"/>
        </w:rPr>
        <w:t>La page Branding permet à la banque de définir ses couleurs primaire et secondaire, son titre d’accueil, son texte de bienvenue, son pied de page, son logo et sa bannière. Les images sont téléversées via les services dédiés puis l’aperçu de la marketplace est rafraîchi. La page de contenu complète ce branding avec la création, la modification, la suppression et la visibilité de contenus au niveau global de marketplace ou au niveau d’un store.</w:t>
      </w:r>
    </w:p>
    <w:p>
      <w:r>
        <w:rPr>
          <w:rFonts w:ascii="Calibri" w:hAnsi="Calibri"/>
        </w:rPr>
        <w:t>La bannière n’est pas réduite à une image statique globale. Les services exposent aussi une gestion par store : ajout, remplacement et suppression de bannières. Lorsqu’il existe plusieurs bannières de store, la marketplace publique propose une rotation et des contrôles précédent/suivant. Cette personnalisation est isolée par tenant et ne modifie pas le catalogue partagé.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Personnalisation du branding bancaire</w:t>
            </w:r>
          </w:p>
          <w:p>
            <w:pPr>
              <w:jc w:val="center"/>
            </w:pPr>
            <w:r>
              <w:rPr>
                <w:rFonts w:ascii="Calibri" w:hAnsi="Calibri"/>
                <w:i/>
                <w:color w:val="5B6573"/>
                <w:sz w:val="18"/>
              </w:rPr>
              <w:t>Insérer la page Branding montrant la palette, les textes, le logo, la bannière et l’aperçu de la marketplace.</w:t>
            </w:r>
          </w:p>
        </w:tc>
      </w:tr>
    </w:tbl>
    <w:p>
      <w:pPr>
        <w:spacing w:after="40"/>
      </w:pPr>
    </w:p>
    <w:p>
      <w:pPr>
        <w:pStyle w:val="Caption"/>
        <w:jc w:val="center"/>
      </w:pPr>
      <w:r>
        <w:rPr>
          <w:rFonts w:ascii="Calibri" w:hAnsi="Calibri"/>
          <w:i/>
          <w:color w:val="5B6573"/>
          <w:sz w:val="18"/>
        </w:rPr>
        <w:t>Capture 4.15 - Personnalisation du branding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Gestion de contenu et bannières par store</w:t>
            </w:r>
          </w:p>
          <w:p>
            <w:pPr>
              <w:jc w:val="center"/>
            </w:pPr>
            <w:r>
              <w:rPr>
                <w:rFonts w:ascii="Calibri" w:hAnsi="Calibri"/>
                <w:i/>
                <w:color w:val="5B6573"/>
                <w:sz w:val="18"/>
              </w:rPr>
              <w:t>Insérer l’écran de gestion des contenus ou le gestionnaire de bannières d’un store actif.</w:t>
            </w:r>
          </w:p>
        </w:tc>
      </w:tr>
    </w:tbl>
    <w:p>
      <w:pPr>
        <w:spacing w:after="40"/>
      </w:pPr>
    </w:p>
    <w:p>
      <w:pPr>
        <w:pStyle w:val="Caption"/>
        <w:jc w:val="center"/>
      </w:pPr>
      <w:r>
        <w:rPr>
          <w:rFonts w:ascii="Calibri" w:hAnsi="Calibri"/>
          <w:i/>
          <w:color w:val="5B6573"/>
          <w:sz w:val="18"/>
        </w:rPr>
        <w:t>Capture 4.16 - Gestion de contenu et bannières par store.</w:t>
      </w:r>
    </w:p>
    <w:p>
      <w:pPr>
        <w:pStyle w:val="Heading3"/>
      </w:pPr>
      <w:r>
        <w:rPr>
          <w:rFonts w:ascii="Calibri" w:hAnsi="Calibri"/>
        </w:rPr>
        <w:t>4.4.2 Stores, modules et paramètres configurables</w:t>
      </w:r>
    </w:p>
    <w:p>
      <w:r>
        <w:rPr>
          <w:rFonts w:ascii="Calibri" w:hAnsi="Calibri"/>
        </w:rPr>
        <w:t>L’espace « Stores assignés » affiche uniquement les stores de la marketplace courante. La banque peut les consulter, les activer ou les désactiver et demander de nouveaux stores depuis le catalogue. Dans l’écran « Modules assignés », chaque store ne révèle que ses propres associations ; un module peut être activé ou désactivé et ses paramètres peuvent être enregistrés dans le contexte du tenant. Un store inactif place ses modules en lecture seule jusqu’à sa réactivation.</w:t>
      </w:r>
    </w:p>
    <w:p>
      <w:r>
        <w:rPr>
          <w:rFonts w:ascii="Calibri" w:hAnsi="Calibri"/>
        </w:rPr>
        <w:t>Les paramètres sont génériques et typés (texte, nombre ou date), ce qui permet de définir, par exemple, les valeurs de simulation sans créer une table technique par produit. Les composants publics utilisent ensuite ces paramètres pour adapter le simulateur. Les modules comparateur, simulateur, bannière et chatbot sont traités selon leur association effective au store ; seul un module navigable expose une page dans le menu, tandis que bannière et chatbot enrichissent l’interface sans ajouter une route indépendante.</w:t>
      </w:r>
    </w:p>
    <w:p>
      <w:pPr>
        <w:spacing w:before="120" w:after="60"/>
        <w:jc w:val="center"/>
      </w:pPr>
      <w:r>
        <w:drawing>
          <wp:inline xmlns:a="http://schemas.openxmlformats.org/drawingml/2006/main" xmlns:pic="http://schemas.openxmlformats.org/drawingml/2006/picture">
            <wp:extent cx="5715000" cy="2159000"/>
            <wp:docPr id="5" name="Picture 5" descr="Figure 4.5 — Configuration tenant d’un store : catalogue commun, modules et visibilité publique." title="Figure 4.5 — Configuration tenant d’un store : catalogue commun, modules et visibilité publique."/>
            <wp:cNvGraphicFramePr>
              <a:graphicFrameLocks noChangeAspect="1"/>
            </wp:cNvGraphicFramePr>
            <a:graphic>
              <a:graphicData uri="http://schemas.openxmlformats.org/drawingml/2006/picture">
                <pic:pic>
                  <pic:nvPicPr>
                    <pic:cNvPr id="0" name="fig_4_2_configuration_store.png"/>
                    <pic:cNvPicPr/>
                  </pic:nvPicPr>
                  <pic:blipFill>
                    <a:blip r:embed="rId15"/>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4.5 — Configuration tenant d’un store : catalogue commun, modules et visibilité publique.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Stores associés à la marketplace bancaire</w:t>
            </w:r>
          </w:p>
          <w:p>
            <w:pPr>
              <w:jc w:val="center"/>
            </w:pPr>
            <w:r>
              <w:rPr>
                <w:rFonts w:ascii="Calibri" w:hAnsi="Calibri"/>
                <w:i/>
                <w:color w:val="5B6573"/>
                <w:sz w:val="18"/>
              </w:rPr>
              <w:t>Insérer la page « Stores assignés » avec le statut de chaque store et l’action de demande de nouveau store.</w:t>
            </w:r>
          </w:p>
        </w:tc>
      </w:tr>
    </w:tbl>
    <w:p>
      <w:pPr>
        <w:spacing w:after="40"/>
      </w:pPr>
    </w:p>
    <w:p>
      <w:pPr>
        <w:pStyle w:val="Caption"/>
        <w:jc w:val="center"/>
      </w:pPr>
      <w:r>
        <w:rPr>
          <w:rFonts w:ascii="Calibri" w:hAnsi="Calibri"/>
          <w:i/>
          <w:color w:val="5B6573"/>
          <w:sz w:val="18"/>
        </w:rPr>
        <w:t>Capture 4.17 - Stores associés à la marketplace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4.18</w:t>
            </w:r>
          </w:p>
          <w:p>
            <w:pPr>
              <w:jc w:val="center"/>
            </w:pPr>
            <w:r>
              <w:rPr>
                <w:rFonts w:ascii="Calibri" w:hAnsi="Calibri"/>
                <w:b/>
                <w:color w:val="202124"/>
                <w:sz w:val="24"/>
              </w:rPr>
              <w:t>Modules et paramètres du store sélectionné</w:t>
            </w:r>
          </w:p>
          <w:p>
            <w:pPr>
              <w:jc w:val="center"/>
            </w:pPr>
            <w:r>
              <w:rPr>
                <w:rFonts w:ascii="Calibri" w:hAnsi="Calibri"/>
                <w:i/>
                <w:color w:val="5B6573"/>
                <w:sz w:val="18"/>
              </w:rPr>
              <w:t>Insérer la page « Modules assignés » montrant l’activation, les paramètres et le gestionnaire de bannière lorsqu’il est présent.</w:t>
            </w:r>
          </w:p>
        </w:tc>
      </w:tr>
    </w:tbl>
    <w:p>
      <w:pPr>
        <w:spacing w:after="40"/>
      </w:pPr>
    </w:p>
    <w:p>
      <w:pPr>
        <w:pStyle w:val="Caption"/>
        <w:jc w:val="center"/>
      </w:pPr>
      <w:r>
        <w:rPr>
          <w:rFonts w:ascii="Calibri" w:hAnsi="Calibri"/>
          <w:i/>
          <w:color w:val="5B6573"/>
          <w:sz w:val="18"/>
        </w:rPr>
        <w:t>Capture 4.18 - Modules et paramètres du store sélectionné.</w:t>
      </w:r>
    </w:p>
    <w:p>
      <w:pPr>
        <w:pStyle w:val="Heading3"/>
      </w:pPr>
      <w:r>
        <w:rPr>
          <w:rFonts w:ascii="Calibri" w:hAnsi="Calibri"/>
        </w:rPr>
        <w:t>4.4.3 Renouvellement et ajout de services</w:t>
      </w:r>
    </w:p>
    <w:p>
      <w:r>
        <w:rPr>
          <w:rFonts w:ascii="Calibri" w:hAnsi="Calibri"/>
        </w:rPr>
        <w:t>Le renouvellement est disponible depuis la page Abonnement. La banque consulte l’historique des abonnements, les paiements, les services inclus, la date d’expiration et le nombre de jours restants, puis transmet une demande de renouvellement annuel au SaaS. Cette demande est de type renewal ; après son approbation, une opération de paiement est créée et les instructions de règlement sont envoyées. Le paiement validé prolonge l’abonnement actif.</w:t>
      </w:r>
    </w:p>
    <w:p>
      <w:r>
        <w:rPr>
          <w:rFonts w:ascii="Calibri" w:hAnsi="Calibri"/>
        </w:rPr>
        <w:t>L’ajout de stores ou de modules est traité comme une demande distincte de type store ou module, et non comme une modification directe de l’abonnement existant. Les choix sont envoyés au SaaS avec le détail par store, passent par l’approbation et le paiement, puis les nouveaux services sont activés. Cette distinction est importante : le projet implémente explicitement un workflow de renouvellement et des workflows séparés d’extension de catalogue, plutôt qu’un unique bouton générique « upgrade ».</w:t>
      </w:r>
    </w:p>
    <w:p>
      <w:pPr>
        <w:spacing w:before="120" w:after="60"/>
        <w:jc w:val="center"/>
      </w:pPr>
      <w:r>
        <w:drawing>
          <wp:inline xmlns:a="http://schemas.openxmlformats.org/drawingml/2006/main" xmlns:pic="http://schemas.openxmlformats.org/drawingml/2006/picture">
            <wp:extent cx="5715000" cy="2286000"/>
            <wp:docPr id="6" name="Picture 6" descr="Figure 4.6 — Workflow réel de renouvellement et d’ajout de stores/modules." title="Figure 4.6 — Workflow réel de renouvellement et d’ajout de stores/modules."/>
            <wp:cNvGraphicFramePr>
              <a:graphicFrameLocks noChangeAspect="1"/>
            </wp:cNvGraphicFramePr>
            <a:graphic>
              <a:graphicData uri="http://schemas.openxmlformats.org/drawingml/2006/picture">
                <pic:pic>
                  <pic:nvPicPr>
                    <pic:cNvPr id="0" name="fig_4_3_renouvellement_ajout_services.png"/>
                    <pic:cNvPicPr/>
                  </pic:nvPicPr>
                  <pic:blipFill>
                    <a:blip r:embed="rId16"/>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4.6 — Workflow réel de renouvellement et d’ajout de stores/modules.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4.19</w:t>
            </w:r>
          </w:p>
          <w:p>
            <w:pPr>
              <w:jc w:val="center"/>
            </w:pPr>
            <w:r>
              <w:rPr>
                <w:rFonts w:ascii="Calibri" w:hAnsi="Calibri"/>
                <w:b/>
                <w:color w:val="202124"/>
                <w:sz w:val="24"/>
              </w:rPr>
              <w:t>Abonnement bancaire et historique des services</w:t>
            </w:r>
          </w:p>
          <w:p>
            <w:pPr>
              <w:jc w:val="center"/>
            </w:pPr>
            <w:r>
              <w:rPr>
                <w:rFonts w:ascii="Calibri" w:hAnsi="Calibri"/>
                <w:i/>
                <w:color w:val="5B6573"/>
                <w:sz w:val="18"/>
              </w:rPr>
              <w:t>Insérer la page Abonnement : statut, dernier paiement, expiration, historique et stores/modules inclus.</w:t>
            </w:r>
          </w:p>
        </w:tc>
      </w:tr>
    </w:tbl>
    <w:p>
      <w:pPr>
        <w:spacing w:after="40"/>
      </w:pPr>
    </w:p>
    <w:p>
      <w:pPr>
        <w:pStyle w:val="Caption"/>
        <w:jc w:val="center"/>
      </w:pPr>
      <w:r>
        <w:rPr>
          <w:rFonts w:ascii="Calibri" w:hAnsi="Calibri"/>
          <w:i/>
          <w:color w:val="5B6573"/>
          <w:sz w:val="18"/>
        </w:rPr>
        <w:t>Capture 4.19 - Abonnement bancaire et historique des services.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4.20</w:t>
            </w:r>
          </w:p>
          <w:p>
            <w:pPr>
              <w:jc w:val="center"/>
            </w:pPr>
            <w:r>
              <w:rPr>
                <w:rFonts w:ascii="Calibri" w:hAnsi="Calibri"/>
                <w:b/>
                <w:color w:val="202124"/>
                <w:sz w:val="24"/>
              </w:rPr>
              <w:t>Demande de renouvellement ou d’extension</w:t>
            </w:r>
          </w:p>
          <w:p>
            <w:pPr>
              <w:jc w:val="center"/>
            </w:pPr>
            <w:r>
              <w:rPr>
                <w:rFonts w:ascii="Calibri" w:hAnsi="Calibri"/>
                <w:i/>
                <w:color w:val="5B6573"/>
                <w:sz w:val="18"/>
              </w:rPr>
              <w:t>Insérer la fenêtre de renouvellement, ou le formulaire de demande de stores/modules, puis le statut de la demande créée.</w:t>
            </w:r>
          </w:p>
        </w:tc>
      </w:tr>
    </w:tbl>
    <w:p>
      <w:pPr>
        <w:spacing w:after="40"/>
      </w:pPr>
    </w:p>
    <w:p>
      <w:pPr>
        <w:pStyle w:val="Caption"/>
        <w:jc w:val="center"/>
      </w:pPr>
      <w:r>
        <w:rPr>
          <w:rFonts w:ascii="Calibri" w:hAnsi="Calibri"/>
          <w:i/>
          <w:color w:val="5B6573"/>
          <w:sz w:val="18"/>
        </w:rPr>
        <w:t>Capture 4.20 - Demande de renouvellement ou d’extension.</w:t>
      </w:r>
    </w:p>
    <w:p>
      <w:pPr>
        <w:pStyle w:val="Heading2"/>
      </w:pPr>
      <w:r>
        <w:rPr>
          <w:rFonts w:ascii="Calibri" w:hAnsi="Calibri"/>
        </w:rPr>
        <w:t>4.5 Marketplace publique et fonctionnalités de découverte</w:t>
      </w:r>
    </w:p>
    <w:p>
      <w:r>
        <w:rPr>
          <w:rFonts w:ascii="Calibri" w:hAnsi="Calibri"/>
        </w:rPr>
        <w:t>La marketplace publique reprend le branding de la banque active et les stores visibles. La page d’accueil affiche la bannière, le texte de bienvenue et les offres/store cards. Le visiteur peut ensuite accéder à une page de store, où les produits bancaires et les produits de concessionnaires publiés sont agrégés, avec la contextualisation du store sélectionné. Les routes publiques couvrent également la connexion, l’inscription client, la récupération de mot de passe, la simulation, le comparateur et le blog lorsque le module correspondant est activé.</w:t>
      </w:r>
    </w:p>
    <w:p>
      <w:pPr>
        <w:spacing w:before="120" w:after="60"/>
        <w:jc w:val="center"/>
      </w:pPr>
      <w:r>
        <w:drawing>
          <wp:inline xmlns:a="http://schemas.openxmlformats.org/drawingml/2006/main" xmlns:pic="http://schemas.openxmlformats.org/drawingml/2006/picture">
            <wp:extent cx="5715000" cy="3323724"/>
            <wp:docPr id="7" name="Picture 7" descr="Figure 4.7 — Page d’accueil d’une marketplace publique tenant : bannière, stores et navigation contextualisée." title="Figure 4.7 — Page d’accueil d’une marketplace publique tenant : bannière, stores et navigation contextualisée."/>
            <wp:cNvGraphicFramePr>
              <a:graphicFrameLocks noChangeAspect="1"/>
            </wp:cNvGraphicFramePr>
            <a:graphic>
              <a:graphicData uri="http://schemas.openxmlformats.org/drawingml/2006/picture">
                <pic:pic>
                  <pic:nvPicPr>
                    <pic:cNvPr id="0" name="tenantDéploy.png"/>
                    <pic:cNvPicPr/>
                  </pic:nvPicPr>
                  <pic:blipFill>
                    <a:blip r:embed="rId17"/>
                    <a:stretch>
                      <a:fillRect/>
                    </a:stretch>
                  </pic:blipFill>
                  <pic:spPr>
                    <a:xfrm>
                      <a:off x="0" y="0"/>
                      <a:ext cx="5715000" cy="3323724"/>
                    </a:xfrm>
                    <a:prstGeom prst="rect"/>
                  </pic:spPr>
                </pic:pic>
              </a:graphicData>
            </a:graphic>
          </wp:inline>
        </w:drawing>
      </w:r>
    </w:p>
    <w:p>
      <w:pPr>
        <w:pStyle w:val="Caption"/>
        <w:jc w:val="center"/>
      </w:pPr>
      <w:r>
        <w:rPr>
          <w:rFonts w:ascii="Calibri" w:hAnsi="Calibri"/>
          <w:i/>
          <w:color w:val="5B6573"/>
          <w:sz w:val="18"/>
        </w:rPr>
        <w:t>Figure 4.7 — Page d’accueil d’une marketplace publique tenant : bannière, stores et navigation contextualisée.</w:t>
      </w:r>
    </w:p>
    <w:p>
      <w:r>
        <w:rPr>
          <w:rFonts w:ascii="Calibri" w:hAnsi="Calibri"/>
        </w:rPr>
        <w:t>La figure 4.8 montre l’application du branding au tenant et la présentation des stores disponibles. La page de store poursuit cette contextualisation : elle affiche les contenus, les bannières, les produits, les indications de disponibilité et les appels vers les modules actifs. Le comparateur peut confronter jusqu’à quatre produits ; le simulateur calcule une estimation et permet d’initier ensuite une demande de financement. Ces outils ne constituent pas une acceptation de crédit automatique.</w:t>
      </w:r>
    </w:p>
    <w:p>
      <w:pPr>
        <w:spacing w:before="120" w:after="60"/>
        <w:jc w:val="center"/>
      </w:pPr>
      <w:r>
        <w:drawing>
          <wp:inline xmlns:a="http://schemas.openxmlformats.org/drawingml/2006/main" xmlns:pic="http://schemas.openxmlformats.org/drawingml/2006/picture">
            <wp:extent cx="5715000" cy="3306944"/>
            <wp:docPr id="8" name="Picture 8" descr="Figure 4.8 — Page publique d’un store véhicule avec contenu et modules associés." title="Figure 4.8 — Page publique d’un store véhicule avec contenu et modules associés."/>
            <wp:cNvGraphicFramePr>
              <a:graphicFrameLocks noChangeAspect="1"/>
            </wp:cNvGraphicFramePr>
            <a:graphic>
              <a:graphicData uri="http://schemas.openxmlformats.org/drawingml/2006/picture">
                <pic:pic>
                  <pic:nvPicPr>
                    <pic:cNvPr id="0" name="TenantMarketplace.png"/>
                    <pic:cNvPicPr/>
                  </pic:nvPicPr>
                  <pic:blipFill>
                    <a:blip r:embed="rId18"/>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4.8 — Page publique d’un store véhicule avec contenu et modules associés.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4.21</w:t>
            </w:r>
          </w:p>
          <w:p>
            <w:pPr>
              <w:jc w:val="center"/>
            </w:pPr>
            <w:r>
              <w:rPr>
                <w:rFonts w:ascii="Calibri" w:hAnsi="Calibri"/>
                <w:b/>
                <w:color w:val="202124"/>
                <w:sz w:val="24"/>
              </w:rPr>
              <w:t>Comparateur, simulateur et chatbot de la marketplace</w:t>
            </w:r>
          </w:p>
          <w:p>
            <w:pPr>
              <w:jc w:val="center"/>
            </w:pPr>
            <w:r>
              <w:rPr>
                <w:rFonts w:ascii="Calibri" w:hAnsi="Calibri"/>
                <w:i/>
                <w:color w:val="5B6573"/>
                <w:sz w:val="18"/>
              </w:rPr>
              <w:t>Insérer une capture d’un module public réellement activé pour le store concerné. Ne retenir le chatbot que s’il est visible dans la configuration de démonstration.</w:t>
            </w:r>
          </w:p>
        </w:tc>
      </w:tr>
    </w:tbl>
    <w:p>
      <w:pPr>
        <w:spacing w:after="40"/>
      </w:pPr>
    </w:p>
    <w:p>
      <w:pPr>
        <w:pStyle w:val="Caption"/>
        <w:jc w:val="center"/>
      </w:pPr>
      <w:r>
        <w:rPr>
          <w:rFonts w:ascii="Calibri" w:hAnsi="Calibri"/>
          <w:i/>
          <w:color w:val="5B6573"/>
          <w:sz w:val="18"/>
        </w:rPr>
        <w:t>Capture 4.21 - Comparateur, simulateur et chatbot de la marketplace.</w:t>
      </w:r>
    </w:p>
    <w:p>
      <w:pPr>
        <w:pStyle w:val="Heading2"/>
      </w:pPr>
      <w:r>
        <w:rPr>
          <w:rFonts w:ascii="Calibri" w:hAnsi="Calibri"/>
        </w:rPr>
        <w:t>4.6 Espaces concessionnaire, client, financement et assistant</w:t>
      </w:r>
    </w:p>
    <w:p>
      <w:r>
        <w:rPr>
          <w:rFonts w:ascii="Calibri" w:hAnsi="Calibri"/>
        </w:rPr>
        <w:t>Les fonctionnalités multi-acteurs complètent le cycle de la marketplace. Le concessionnaire dispose d’un compte unique avec un espace pour ses partenariats, contrats, produits, publications et demandes de financement. Il peut solliciter plusieurs banques ; la banque conserve la décision sur le partenariat, le contrat et la publication. Les produits publiés sur un tenant sont donc contrôlés par des préconditions de partenariat actif, contrat valide, store actif et décision bancaire.</w:t>
      </w:r>
    </w:p>
    <w:p>
      <w:r>
        <w:rPr>
          <w:rFonts w:ascii="Calibri" w:hAnsi="Calibri"/>
        </w:rPr>
        <w:t>Le client s’inscrit dans le contexte de la marketplace, consulte les produits, compare ou simule lorsque les modules sont actifs, puis constitue un dossier de financement. Le dossier passe de brouillon à PENDING lorsque les pièces requises sont présentes. La banque instruit ensuite la demande, accepte ou rejette avec un motif, et les notifications ainsi que les e-mails informent les acteurs concernés. Lorsque le produit appartient à un concessionnaire, l’acceptation peut entraîner la réservation du stock.</w:t>
      </w:r>
    </w:p>
    <w:p>
      <w:r>
        <w:rPr>
          <w:rFonts w:ascii="Calibri" w:hAnsi="Calibri"/>
        </w:rPr>
        <w:t>Enfin, le widget d’assistant intelligent est limité à l’administrateur SaaS. Il répond en français aux questions de pilotage à partir d’un schéma filtré. La chaîne de sécurité refuse les DML/DDL, SELECT *, colonnes sensibles, jointures non autorisées et requêtes sans limite ; seules des requêtes SELECT validées, limitées et exécutées en lecture seule peuvent produire une réponse. L’assistant ne décide donc ni d’un crédit ni d’une activation métier.</w:t>
      </w:r>
    </w:p>
    <w:p>
      <w:pPr>
        <w:spacing w:before="120" w:after="60"/>
        <w:jc w:val="center"/>
      </w:pPr>
      <w:r>
        <w:drawing>
          <wp:inline xmlns:a="http://schemas.openxmlformats.org/drawingml/2006/main" xmlns:pic="http://schemas.openxmlformats.org/drawingml/2006/picture">
            <wp:extent cx="2834640" cy="4441441"/>
            <wp:docPr id="9" name="Picture 9" descr="Figure 4.9 — Assistant IA SaaS : restitution d’une information de pilotage dans le back-office." title="Figure 4.9 — Assistant IA SaaS : restitution d’une information de pilotage dans le back-office."/>
            <wp:cNvGraphicFramePr>
              <a:graphicFrameLocks noChangeAspect="1"/>
            </wp:cNvGraphicFramePr>
            <a:graphic>
              <a:graphicData uri="http://schemas.openxmlformats.org/drawingml/2006/picture">
                <pic:pic>
                  <pic:nvPicPr>
                    <pic:cNvPr id="0" name="assistant .png"/>
                    <pic:cNvPicPr/>
                  </pic:nvPicPr>
                  <pic:blipFill>
                    <a:blip r:embed="rId19"/>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4.9 — Assistant IA SaaS : restitution d’une information de pilotage dans le back-office.</w:t>
      </w:r>
    </w:p>
    <w:p>
      <w:pPr>
        <w:pStyle w:val="Heading2"/>
      </w:pPr>
      <w:r>
        <w:rPr>
          <w:rFonts w:ascii="Calibri" w:hAnsi="Calibri"/>
        </w:rPr>
        <w:t>4.7 Conclusion</w:t>
      </w:r>
    </w:p>
    <w:p>
      <w:r>
        <w:rPr>
          <w:rFonts w:ascii="Calibri" w:hAnsi="Calibri"/>
        </w:rPr>
        <w:t>La réalisation de Matchia forme un workflow cohérent et contrôlé : une banque soumet une demande complète et vérifiée, le SaaS l’analyse et la provisionne à l’état inactif, le paiement confirmé active les services et les identifiants, puis le back-office banque administre l’expérience tenant. Les extensions commerciales et le renouvellement restent soumis au SaaS et au paiement. La marketplace publique, les espaces concessionnaire et client, le financement et l’assistant d’analyse prolongent ce socle sans rompre l’isolation fonctionnelle entre les banques.</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10" name="Picture 10"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20"/>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11" name="Picture 11"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21"/>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Parcours client et demande de financement</w:t>
      </w:r>
    </w:p>
    <w:p>
      <w:pPr>
        <w:pStyle w:val="Heading3"/>
      </w:pPr>
      <w:r>
        <w:rPr>
          <w:rFonts w:ascii="Calibri" w:hAnsi="Calibri"/>
        </w:rPr>
        <w:t>5.4.1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5.4.2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12" name="Picture 12"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22"/>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5.4.3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peut déclencher la réservation du stock ; le concessionnaire concerné reçoit alors la notification correspondante.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13" name="Picture 13"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23"/>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5.6 -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5.7 -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5.8 - Instruction bancaire et décision motivée.</w:t>
      </w:r>
    </w:p>
    <w:p>
      <w:pPr>
        <w:pStyle w:val="Heading2"/>
      </w:pPr>
      <w:r>
        <w:rPr>
          <w:rFonts w:ascii="Calibri" w:hAnsi="Calibri"/>
        </w:rPr>
        <w:t>5.5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14" name="Picture 14"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19"/>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5.5.1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15" name="Picture 15"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24"/>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5.5.2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5.9 - Réponse valide et refus sécurisé de l’assistant IA.</w:t>
      </w:r>
    </w:p>
    <w:p>
      <w:pPr>
        <w:pStyle w:val="Heading2"/>
      </w:pPr>
      <w:r>
        <w:rPr>
          <w:rFonts w:ascii="Calibri" w:hAnsi="Calibri"/>
        </w:rPr>
        <w:t>5.6 Conclusion</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Chapitres 4 et 5 — Matchia</dc:title>
  <dc:subject>Réalisation SaaS bancaire, parcours concessionnaire, financement et assistant IA</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